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56" w:rsidRDefault="00B45E56">
      <w:pPr>
        <w:pStyle w:val="Heading3"/>
        <w:jc w:val="center"/>
        <w:rPr>
          <w:sz w:val="36"/>
          <w:szCs w:val="36"/>
          <w:lang w:val="en-US"/>
        </w:rPr>
      </w:pPr>
    </w:p>
    <w:p w:rsidR="00B45E56" w:rsidRDefault="000F5140">
      <w:pPr>
        <w:pStyle w:val="Heading3"/>
        <w:ind w:right="-64"/>
        <w:jc w:val="center"/>
        <w:rPr>
          <w:sz w:val="24"/>
          <w:szCs w:val="24"/>
        </w:rPr>
      </w:pPr>
      <w:r>
        <w:rPr>
          <w:sz w:val="24"/>
          <w:szCs w:val="24"/>
        </w:rPr>
        <w:t xml:space="preserve">SCREENING THE SUSCEPTIBILITY OF SOME PHOTOSENSITIZERS AS A PHOTOINSSECTICIDE ON </w:t>
      </w:r>
      <w:r>
        <w:rPr>
          <w:b w:val="0"/>
          <w:bCs w:val="0"/>
          <w:i/>
          <w:iCs/>
          <w:sz w:val="24"/>
          <w:szCs w:val="24"/>
        </w:rPr>
        <w:t>Spodoptera furgipedra</w:t>
      </w:r>
      <w:r>
        <w:rPr>
          <w:sz w:val="24"/>
          <w:szCs w:val="24"/>
        </w:rPr>
        <w:t xml:space="preserve"> SF9 CELL LINE </w:t>
      </w:r>
      <w:r w:rsidRPr="00C44EF7">
        <w:rPr>
          <w:i/>
          <w:iCs/>
          <w:sz w:val="24"/>
          <w:szCs w:val="24"/>
        </w:rPr>
        <w:t>IN VITRO</w:t>
      </w:r>
    </w:p>
    <w:p w:rsidR="00B45E56" w:rsidRDefault="00B45E56">
      <w:pPr>
        <w:rPr>
          <w:b/>
          <w:bCs/>
          <w:sz w:val="36"/>
          <w:szCs w:val="36"/>
        </w:rPr>
      </w:pPr>
    </w:p>
    <w:p w:rsidR="00B45E56" w:rsidRDefault="000F5140">
      <w:pPr>
        <w:jc w:val="center"/>
        <w:rPr>
          <w:rFonts w:ascii="Arial" w:hAnsi="Arial" w:cs="Arial"/>
          <w:b/>
          <w:bCs/>
          <w:caps/>
          <w:sz w:val="20"/>
          <w:szCs w:val="20"/>
        </w:rPr>
      </w:pPr>
      <w:r>
        <w:rPr>
          <w:rFonts w:ascii="Arial" w:hAnsi="Arial" w:cs="Arial"/>
          <w:b/>
          <w:bCs/>
          <w:sz w:val="20"/>
          <w:szCs w:val="20"/>
        </w:rPr>
        <w:t xml:space="preserve">ELHAM M. </w:t>
      </w:r>
      <w:r>
        <w:rPr>
          <w:rFonts w:ascii="Arial" w:hAnsi="Arial" w:cs="Arial"/>
          <w:b/>
          <w:bCs/>
          <w:caps/>
          <w:sz w:val="20"/>
          <w:szCs w:val="20"/>
        </w:rPr>
        <w:t>Salama</w:t>
      </w:r>
    </w:p>
    <w:p w:rsidR="00B45E56" w:rsidRDefault="00B45E56">
      <w:pPr>
        <w:pStyle w:val="BodyText"/>
        <w:rPr>
          <w:b/>
          <w:bCs/>
          <w:sz w:val="32"/>
          <w:szCs w:val="32"/>
        </w:rPr>
      </w:pPr>
    </w:p>
    <w:p w:rsidR="00B45E56" w:rsidRDefault="000F5140">
      <w:pPr>
        <w:pStyle w:val="BodyText"/>
        <w:rPr>
          <w:rFonts w:ascii="Arial" w:hAnsi="Arial" w:cs="Arial"/>
          <w:sz w:val="18"/>
          <w:szCs w:val="18"/>
        </w:rPr>
      </w:pPr>
      <w:r>
        <w:rPr>
          <w:rFonts w:ascii="Arial" w:hAnsi="Arial" w:cs="Arial"/>
          <w:sz w:val="18"/>
          <w:szCs w:val="18"/>
        </w:rPr>
        <w:t>Entomology Department, Faculty of Science, Zagazig University, Benha branch, Egypt</w:t>
      </w:r>
    </w:p>
    <w:p w:rsidR="00B45E56" w:rsidRDefault="000F5140">
      <w:pPr>
        <w:pStyle w:val="Heading3"/>
        <w:jc w:val="center"/>
        <w:rPr>
          <w:sz w:val="20"/>
          <w:szCs w:val="20"/>
        </w:rPr>
      </w:pPr>
      <w:r>
        <w:rPr>
          <w:sz w:val="20"/>
          <w:szCs w:val="20"/>
        </w:rPr>
        <w:t>ABSTRACT</w:t>
      </w:r>
    </w:p>
    <w:p w:rsidR="00B45E56" w:rsidRDefault="00B45E56">
      <w:pPr>
        <w:rPr>
          <w:rFonts w:ascii="Arial" w:hAnsi="Arial" w:cs="Arial"/>
          <w:sz w:val="20"/>
          <w:szCs w:val="20"/>
        </w:rPr>
      </w:pPr>
    </w:p>
    <w:p w:rsidR="00B45E56" w:rsidRDefault="000F5140">
      <w:pPr>
        <w:keepLines/>
        <w:ind w:firstLine="720"/>
        <w:jc w:val="both"/>
        <w:rPr>
          <w:rFonts w:ascii="Arial" w:hAnsi="Arial" w:cs="Arial"/>
          <w:sz w:val="20"/>
          <w:szCs w:val="20"/>
        </w:rPr>
      </w:pPr>
      <w:r>
        <w:rPr>
          <w:rFonts w:ascii="Arial" w:hAnsi="Arial" w:cs="Arial"/>
          <w:sz w:val="20"/>
          <w:szCs w:val="20"/>
        </w:rPr>
        <w:t xml:space="preserve">The </w:t>
      </w:r>
      <w:r>
        <w:rPr>
          <w:rFonts w:ascii="Arial" w:hAnsi="Arial" w:cs="Arial"/>
          <w:i/>
          <w:iCs/>
          <w:sz w:val="20"/>
          <w:szCs w:val="20"/>
        </w:rPr>
        <w:t>Spodoptera furgipedra</w:t>
      </w:r>
      <w:r>
        <w:rPr>
          <w:rFonts w:ascii="Arial" w:hAnsi="Arial" w:cs="Arial"/>
          <w:sz w:val="20"/>
          <w:szCs w:val="20"/>
        </w:rPr>
        <w:t xml:space="preserve"> SF9 cell line was tested by B-Phenylpyruvic acid, Hematoporphyrin IX, L-tryptophan, Mandelic acid, Histidine and L-b-phenyllactic acid for comparing the photodynamic effect. After irradiation of the tested cells, the photodynamic effect was measured with MTT assay.</w:t>
      </w:r>
    </w:p>
    <w:p w:rsidR="00B45E56" w:rsidRDefault="000F5140">
      <w:pPr>
        <w:keepLines/>
        <w:jc w:val="both"/>
        <w:rPr>
          <w:rFonts w:ascii="Arial" w:hAnsi="Arial" w:cs="Arial"/>
          <w:sz w:val="20"/>
          <w:szCs w:val="20"/>
        </w:rPr>
      </w:pPr>
      <w:r>
        <w:rPr>
          <w:rFonts w:ascii="Arial" w:hAnsi="Arial" w:cs="Arial"/>
          <w:sz w:val="20"/>
          <w:szCs w:val="20"/>
        </w:rPr>
        <w:tab/>
        <w:t xml:space="preserve">The results indicated that the B-phenylpyruvic acid and Hematoporphyrin IX were the most effective photoinsecticides than the others. The L-tryptophan, Mandelic acid, Histidine and L-b-phenyllactic acids were found to have a weak photodynamic effect.   So we can conclude that both B-phenylpyruvic acid and Hematoporphyrin IX were more acceptable to be used as a photoinsecticide against </w:t>
      </w:r>
      <w:r>
        <w:rPr>
          <w:rFonts w:ascii="Arial" w:hAnsi="Arial" w:cs="Arial"/>
          <w:i/>
          <w:iCs/>
          <w:sz w:val="20"/>
          <w:szCs w:val="20"/>
        </w:rPr>
        <w:t>S. furgipedra</w:t>
      </w:r>
      <w:r>
        <w:rPr>
          <w:rFonts w:ascii="Arial" w:hAnsi="Arial" w:cs="Arial"/>
          <w:sz w:val="20"/>
          <w:szCs w:val="20"/>
        </w:rPr>
        <w:t>.</w:t>
      </w:r>
    </w:p>
    <w:p w:rsidR="00B45E56" w:rsidRDefault="00B45E56">
      <w:pPr>
        <w:jc w:val="center"/>
        <w:rPr>
          <w:rFonts w:ascii="Arial" w:hAnsi="Arial" w:cs="Arial"/>
          <w:sz w:val="20"/>
          <w:szCs w:val="20"/>
        </w:rPr>
      </w:pPr>
    </w:p>
    <w:p w:rsidR="00B45E56" w:rsidRDefault="000F5140">
      <w:pPr>
        <w:jc w:val="center"/>
        <w:rPr>
          <w:rFonts w:ascii="Arial" w:hAnsi="Arial" w:cs="Arial"/>
          <w:b/>
          <w:bCs/>
          <w:sz w:val="20"/>
          <w:szCs w:val="20"/>
        </w:rPr>
      </w:pPr>
      <w:r>
        <w:rPr>
          <w:rFonts w:ascii="Arial" w:hAnsi="Arial" w:cs="Arial"/>
          <w:b/>
          <w:bCs/>
          <w:sz w:val="20"/>
          <w:szCs w:val="20"/>
        </w:rPr>
        <w:t xml:space="preserve">INTRODUCTION </w:t>
      </w:r>
    </w:p>
    <w:p w:rsidR="00B45E56" w:rsidRDefault="000F5140">
      <w:pPr>
        <w:ind w:firstLine="567"/>
        <w:jc w:val="both"/>
        <w:rPr>
          <w:rFonts w:ascii="Arial" w:hAnsi="Arial" w:cs="Arial"/>
          <w:sz w:val="20"/>
          <w:szCs w:val="20"/>
        </w:rPr>
      </w:pPr>
      <w:r>
        <w:rPr>
          <w:rFonts w:ascii="Arial" w:hAnsi="Arial" w:cs="Arial"/>
          <w:sz w:val="20"/>
          <w:szCs w:val="20"/>
        </w:rPr>
        <w:t xml:space="preserve">Some authors have reported the usefulness of hematoporphyrin as  a photoinsecticides, Heitz (1987), Yoho, </w:t>
      </w:r>
      <w:r>
        <w:rPr>
          <w:rFonts w:ascii="Arial" w:hAnsi="Arial" w:cs="Arial"/>
          <w:i/>
          <w:iCs/>
          <w:sz w:val="20"/>
          <w:szCs w:val="20"/>
        </w:rPr>
        <w:t>et al.</w:t>
      </w:r>
      <w:r>
        <w:rPr>
          <w:rFonts w:ascii="Arial" w:hAnsi="Arial" w:cs="Arial"/>
          <w:sz w:val="20"/>
          <w:szCs w:val="20"/>
        </w:rPr>
        <w:t xml:space="preserve"> (1976), Lenke, </w:t>
      </w:r>
      <w:r>
        <w:rPr>
          <w:rFonts w:ascii="Arial" w:hAnsi="Arial" w:cs="Arial"/>
          <w:i/>
          <w:iCs/>
          <w:sz w:val="20"/>
          <w:szCs w:val="20"/>
        </w:rPr>
        <w:t>et al.</w:t>
      </w:r>
      <w:r>
        <w:rPr>
          <w:rFonts w:ascii="Arial" w:hAnsi="Arial" w:cs="Arial"/>
          <w:sz w:val="20"/>
          <w:szCs w:val="20"/>
        </w:rPr>
        <w:t xml:space="preserve"> (1987), Ben Amor, </w:t>
      </w:r>
      <w:r>
        <w:rPr>
          <w:rFonts w:ascii="Arial" w:hAnsi="Arial" w:cs="Arial"/>
          <w:i/>
          <w:iCs/>
          <w:sz w:val="20"/>
          <w:szCs w:val="20"/>
        </w:rPr>
        <w:t>et al.</w:t>
      </w:r>
      <w:r>
        <w:rPr>
          <w:rFonts w:ascii="Arial" w:hAnsi="Arial" w:cs="Arial"/>
          <w:sz w:val="20"/>
          <w:szCs w:val="20"/>
        </w:rPr>
        <w:t xml:space="preserve"> (1998) and Salama, </w:t>
      </w:r>
      <w:r>
        <w:rPr>
          <w:rFonts w:ascii="Arial" w:hAnsi="Arial" w:cs="Arial"/>
          <w:i/>
          <w:iCs/>
          <w:sz w:val="20"/>
          <w:szCs w:val="20"/>
        </w:rPr>
        <w:t>et al.</w:t>
      </w:r>
      <w:r>
        <w:rPr>
          <w:rFonts w:ascii="Arial" w:hAnsi="Arial" w:cs="Arial"/>
          <w:sz w:val="20"/>
          <w:szCs w:val="20"/>
        </w:rPr>
        <w:t xml:space="preserve"> (1998). The use of Hematoporphyrin in insect control has several advantageous features as compared with conventional insecticides. This photoinsecticide can be directly administered in aqueous solution and in association with attractive; its photophysical, photosensitizing properties have been determined in a variety of media and have been shown to be particularly efficient, Jori (1985). The primary physical process of photosensitization, the excitation of an electron, does not result in changing the spin of the electron, which is transferred to higher orbital. Therefore, the excited molecule generated is in the singlet state. Lifetimes of excited singlet states are usually very short-measured in Pico-or nanoseconds, and therefore there is a chance of chemical reactions with other molecules (substrates) as reported by Halliwell </w:t>
      </w:r>
      <w:r>
        <w:rPr>
          <w:rFonts w:ascii="Arial" w:hAnsi="Arial" w:cs="Arial"/>
          <w:i/>
          <w:iCs/>
          <w:sz w:val="20"/>
          <w:szCs w:val="20"/>
        </w:rPr>
        <w:t>et al.</w:t>
      </w:r>
      <w:r>
        <w:rPr>
          <w:rFonts w:ascii="Arial" w:hAnsi="Arial" w:cs="Arial"/>
          <w:sz w:val="20"/>
          <w:szCs w:val="20"/>
        </w:rPr>
        <w:t xml:space="preserve"> (1993).  The relatively high water solubility of hematoporphyrin, the ascertained lack of photomutagenic activity, Jori and Spikes  (1983) and its wide spread clinical use as a phototherapeutic agent against solid tumours and other diseases, Jori  (1986) and Brown (1997), although some potential hazards and limitation need to be considered, Heitz (1987), Yoho, </w:t>
      </w:r>
      <w:r>
        <w:rPr>
          <w:rFonts w:ascii="Arial" w:hAnsi="Arial" w:cs="Arial"/>
          <w:i/>
          <w:iCs/>
          <w:sz w:val="20"/>
          <w:szCs w:val="20"/>
        </w:rPr>
        <w:t>et al.</w:t>
      </w:r>
      <w:r>
        <w:rPr>
          <w:rFonts w:ascii="Arial" w:hAnsi="Arial" w:cs="Arial"/>
          <w:sz w:val="20"/>
          <w:szCs w:val="20"/>
        </w:rPr>
        <w:t xml:space="preserve"> (1976), Lenke, </w:t>
      </w:r>
      <w:r>
        <w:rPr>
          <w:rFonts w:ascii="Arial" w:hAnsi="Arial" w:cs="Arial"/>
          <w:i/>
          <w:iCs/>
          <w:sz w:val="20"/>
          <w:szCs w:val="20"/>
        </w:rPr>
        <w:t>et al.</w:t>
      </w:r>
      <w:r>
        <w:rPr>
          <w:rFonts w:ascii="Arial" w:hAnsi="Arial" w:cs="Arial"/>
          <w:sz w:val="20"/>
          <w:szCs w:val="20"/>
        </w:rPr>
        <w:t xml:space="preserve"> (1987). Photoinsecticide is also very rapidly photobleached upon exposure to UV or visible light, Jori and Spikes  (1983).</w:t>
      </w:r>
    </w:p>
    <w:p w:rsidR="00B45E56" w:rsidRDefault="000F5140">
      <w:pPr>
        <w:ind w:firstLine="567"/>
        <w:jc w:val="both"/>
        <w:rPr>
          <w:rFonts w:ascii="Arial" w:hAnsi="Arial" w:cs="Arial"/>
          <w:sz w:val="20"/>
          <w:szCs w:val="20"/>
        </w:rPr>
      </w:pPr>
      <w:r>
        <w:rPr>
          <w:rFonts w:ascii="Arial" w:hAnsi="Arial" w:cs="Arial"/>
          <w:sz w:val="20"/>
          <w:szCs w:val="20"/>
        </w:rPr>
        <w:t>It is very important to understand which biological compound is effective as a photosensitizer to be used as a photoinsecticide, in order to put the bases for the new generation of the photoinsecticide.</w:t>
      </w:r>
    </w:p>
    <w:p w:rsidR="00B45E56" w:rsidRDefault="000F5140">
      <w:pPr>
        <w:pStyle w:val="Heading1"/>
        <w:ind w:firstLine="567"/>
        <w:rPr>
          <w:rFonts w:ascii="Arial" w:hAnsi="Arial" w:cs="Arial"/>
          <w:sz w:val="20"/>
          <w:szCs w:val="20"/>
        </w:rPr>
      </w:pPr>
      <w:r>
        <w:rPr>
          <w:rFonts w:ascii="Arial" w:hAnsi="Arial" w:cs="Arial"/>
          <w:sz w:val="20"/>
          <w:szCs w:val="20"/>
        </w:rPr>
        <w:t>In this work we throw some light on the effectiveness of the above-mentioned photosinsitizers to be used as a photoinsecticide.</w:t>
      </w:r>
    </w:p>
    <w:p w:rsidR="00B45E56" w:rsidRDefault="000F5140">
      <w:pPr>
        <w:jc w:val="both"/>
        <w:rPr>
          <w:rFonts w:ascii="Arial" w:hAnsi="Arial" w:cs="Arial"/>
          <w:sz w:val="20"/>
          <w:szCs w:val="20"/>
        </w:rPr>
      </w:pPr>
      <w:r>
        <w:rPr>
          <w:rFonts w:ascii="Arial" w:hAnsi="Arial" w:cs="Arial"/>
          <w:sz w:val="20"/>
          <w:szCs w:val="20"/>
        </w:rPr>
        <w:t xml:space="preserve">The survivability of the </w:t>
      </w:r>
      <w:r>
        <w:rPr>
          <w:rFonts w:ascii="Arial" w:hAnsi="Arial" w:cs="Arial"/>
          <w:i/>
          <w:iCs/>
          <w:sz w:val="20"/>
          <w:szCs w:val="20"/>
        </w:rPr>
        <w:t>S furgipedra</w:t>
      </w:r>
      <w:r>
        <w:rPr>
          <w:rFonts w:ascii="Arial" w:hAnsi="Arial" w:cs="Arial"/>
          <w:sz w:val="20"/>
          <w:szCs w:val="20"/>
        </w:rPr>
        <w:t xml:space="preserve"> SF9 cell line due to B-Phenylpyruvic acid, Hematoporphyrin IX, L-tryptophan, Mandelic acid, Histidine and L-b-phenyl lactic acid was determined by MTT (Tetrazolium day) assay. MTT was a colorimetric assay for anchorage depended cells, and was based on the permeability that MTT was taken up by viable cells and was reduced by the enzyme mitochondria dehydrogenase to yield purple formazan product, which was impermeable to cell membranes, resulting in its accumulation within viable /healthy cells. Solubilization of the cells by using Dimethylsulphoxide results in the release of the compound allowing its detection using a spectrophotometer.</w:t>
      </w:r>
    </w:p>
    <w:p w:rsidR="00B45E56" w:rsidRDefault="000F5140">
      <w:pPr>
        <w:pStyle w:val="Heading9"/>
        <w:spacing w:line="240" w:lineRule="auto"/>
        <w:ind w:left="1440" w:firstLine="720"/>
        <w:rPr>
          <w:sz w:val="20"/>
          <w:szCs w:val="20"/>
        </w:rPr>
      </w:pPr>
      <w:r>
        <w:rPr>
          <w:sz w:val="20"/>
          <w:szCs w:val="20"/>
        </w:rPr>
        <w:t xml:space="preserve">              MATERIALS AND METHODS </w:t>
      </w:r>
    </w:p>
    <w:p w:rsidR="00B45E56" w:rsidRDefault="000F5140">
      <w:pPr>
        <w:pStyle w:val="Heading9"/>
        <w:spacing w:line="240" w:lineRule="auto"/>
        <w:rPr>
          <w:sz w:val="20"/>
          <w:szCs w:val="20"/>
        </w:rPr>
      </w:pPr>
      <w:r>
        <w:rPr>
          <w:sz w:val="20"/>
          <w:szCs w:val="20"/>
        </w:rPr>
        <w:t>Chemicals</w:t>
      </w:r>
    </w:p>
    <w:p w:rsidR="00B45E56" w:rsidRDefault="000F5140">
      <w:pPr>
        <w:ind w:firstLine="567"/>
        <w:jc w:val="both"/>
        <w:rPr>
          <w:rFonts w:ascii="Arial" w:hAnsi="Arial" w:cs="Arial"/>
          <w:sz w:val="20"/>
          <w:szCs w:val="20"/>
        </w:rPr>
      </w:pPr>
      <w:r>
        <w:rPr>
          <w:rFonts w:ascii="Arial" w:hAnsi="Arial" w:cs="Arial"/>
          <w:sz w:val="20"/>
          <w:szCs w:val="20"/>
        </w:rPr>
        <w:t xml:space="preserve">All chemicals of analytical grade were obtained from Sigma, Aldrich and Fluka (England). B-Phenylpyruvic acid was used. Stock solutions of B-Phenylpyruvic acid were prepared by dissolving a known amount of it in the minimal amount of ethanol. All different concentrations were made using PBS (Phosphate Buffered Saline) for dilution. Stock solutions of Hematoporphyrin were prepared by dissolving a known amount of Hematoporphyrin in the minimal amount of 0.1M Na OH and then neutralizing by drops of 36% HCL. The Hematoporphyrin concentration in the final solution was determined by absorption spectrophotometry, using </w:t>
      </w:r>
      <w:r>
        <w:rPr>
          <w:rFonts w:ascii="Arial" w:hAnsi="Arial" w:cs="Arial"/>
          <w:sz w:val="20"/>
          <w:szCs w:val="20"/>
        </w:rPr>
        <w:sym w:font="Symbol" w:char="F065"/>
      </w:r>
      <w:r>
        <w:rPr>
          <w:rFonts w:ascii="Arial" w:hAnsi="Arial" w:cs="Arial"/>
          <w:sz w:val="20"/>
          <w:szCs w:val="20"/>
        </w:rPr>
        <w:t xml:space="preserve"> =423000 M</w:t>
      </w:r>
      <w:r>
        <w:rPr>
          <w:rFonts w:ascii="Arial" w:hAnsi="Arial" w:cs="Arial"/>
          <w:sz w:val="20"/>
          <w:szCs w:val="20"/>
          <w:vertAlign w:val="superscript"/>
        </w:rPr>
        <w:t xml:space="preserve">-1 </w:t>
      </w:r>
      <w:r>
        <w:rPr>
          <w:rFonts w:ascii="Arial" w:hAnsi="Arial" w:cs="Arial"/>
          <w:sz w:val="20"/>
          <w:szCs w:val="20"/>
        </w:rPr>
        <w:t>cm</w:t>
      </w:r>
      <w:r>
        <w:rPr>
          <w:rFonts w:ascii="Arial" w:hAnsi="Arial" w:cs="Arial"/>
          <w:sz w:val="20"/>
          <w:szCs w:val="20"/>
          <w:vertAlign w:val="superscript"/>
        </w:rPr>
        <w:t>-1</w:t>
      </w:r>
      <w:r>
        <w:rPr>
          <w:rFonts w:ascii="Arial" w:hAnsi="Arial" w:cs="Arial"/>
          <w:sz w:val="20"/>
          <w:szCs w:val="20"/>
        </w:rPr>
        <w:t xml:space="preserve"> at 401.5nm. The solutions of </w:t>
      </w:r>
      <w:r>
        <w:rPr>
          <w:rFonts w:ascii="Arial" w:hAnsi="Arial" w:cs="Arial"/>
          <w:sz w:val="20"/>
          <w:szCs w:val="20"/>
        </w:rPr>
        <w:lastRenderedPageBreak/>
        <w:t>Hematoporphyrin were stable for 4 weeks when kept in the dark at 4</w:t>
      </w:r>
      <w:r>
        <w:rPr>
          <w:rFonts w:ascii="Arial" w:hAnsi="Arial" w:cs="Arial"/>
          <w:sz w:val="20"/>
          <w:szCs w:val="20"/>
          <w:vertAlign w:val="superscript"/>
        </w:rPr>
        <w:t>o</w:t>
      </w:r>
      <w:r>
        <w:rPr>
          <w:rFonts w:ascii="Arial" w:hAnsi="Arial" w:cs="Arial"/>
          <w:sz w:val="20"/>
          <w:szCs w:val="20"/>
        </w:rPr>
        <w:t>C. Mandelic acid was used. Stock solutions of, Mandelic acid was prepared by dissolving a known amount of it in the minimal amount of phosphate buffer. All different concentrations were made using PBS (Phosphate Buffered Saline) for dilution. L-tryptophan, Histidine and L-b-phenyl lactic acid were also used. Stock solutions were prepared by dissolving a known amount of each of them in distilled water. Preparation of the different concentrations were made using PBS (Phosphate Buffered Saline). All the above solutions were filter sterilized before use under hood.</w:t>
      </w:r>
    </w:p>
    <w:p w:rsidR="00B45E56" w:rsidRDefault="000F5140">
      <w:pPr>
        <w:pStyle w:val="Heading1"/>
        <w:widowControl/>
        <w:rPr>
          <w:rFonts w:ascii="Arial" w:hAnsi="Arial" w:cs="Arial"/>
          <w:b/>
          <w:bCs/>
          <w:sz w:val="20"/>
          <w:szCs w:val="20"/>
          <w:lang w:val="en-GB"/>
        </w:rPr>
      </w:pPr>
      <w:r>
        <w:rPr>
          <w:rFonts w:ascii="Arial" w:hAnsi="Arial" w:cs="Arial"/>
          <w:b/>
          <w:bCs/>
          <w:sz w:val="20"/>
          <w:szCs w:val="20"/>
          <w:lang w:val="en-GB"/>
        </w:rPr>
        <w:t>Experimental models</w:t>
      </w:r>
    </w:p>
    <w:p w:rsidR="00B45E56" w:rsidRDefault="000F5140">
      <w:pPr>
        <w:ind w:firstLine="567"/>
        <w:jc w:val="both"/>
        <w:rPr>
          <w:rFonts w:ascii="Arial" w:hAnsi="Arial" w:cs="Arial"/>
          <w:sz w:val="20"/>
          <w:szCs w:val="20"/>
        </w:rPr>
      </w:pPr>
      <w:r>
        <w:rPr>
          <w:rFonts w:ascii="Arial" w:hAnsi="Arial" w:cs="Arial"/>
          <w:i/>
          <w:iCs/>
          <w:sz w:val="20"/>
          <w:szCs w:val="20"/>
        </w:rPr>
        <w:t>S.furgipedra</w:t>
      </w:r>
      <w:r>
        <w:rPr>
          <w:rFonts w:ascii="Arial" w:hAnsi="Arial" w:cs="Arial"/>
          <w:sz w:val="20"/>
          <w:szCs w:val="20"/>
        </w:rPr>
        <w:t xml:space="preserve"> SF9 cell line was obtained from </w:t>
      </w:r>
      <w:r>
        <w:rPr>
          <w:rFonts w:ascii="Arial" w:hAnsi="Arial" w:cs="Arial"/>
          <w:b/>
          <w:bCs/>
          <w:sz w:val="20"/>
          <w:szCs w:val="20"/>
        </w:rPr>
        <w:t>Invitrogen</w:t>
      </w:r>
      <w:r>
        <w:rPr>
          <w:rFonts w:ascii="Arial" w:hAnsi="Arial" w:cs="Arial"/>
          <w:sz w:val="20"/>
          <w:szCs w:val="20"/>
        </w:rPr>
        <w:t xml:space="preserve">. This line was maintained for growth and subculture.   This cell line originated from the IPLBSF-21cell line, derived from the pupal ovarian tissue of the fall army worm </w:t>
      </w:r>
      <w:r>
        <w:rPr>
          <w:rFonts w:ascii="Arial" w:hAnsi="Arial" w:cs="Arial"/>
          <w:i/>
          <w:iCs/>
          <w:sz w:val="20"/>
          <w:szCs w:val="20"/>
        </w:rPr>
        <w:t>S. furgipedra</w:t>
      </w:r>
      <w:r>
        <w:rPr>
          <w:rFonts w:ascii="Arial" w:hAnsi="Arial" w:cs="Arial"/>
          <w:sz w:val="20"/>
          <w:szCs w:val="20"/>
        </w:rPr>
        <w:t xml:space="preserve"> (O`Reilly, </w:t>
      </w:r>
      <w:r>
        <w:rPr>
          <w:rFonts w:ascii="Arial" w:hAnsi="Arial" w:cs="Arial"/>
          <w:i/>
          <w:iCs/>
          <w:sz w:val="20"/>
          <w:szCs w:val="20"/>
        </w:rPr>
        <w:t>et al</w:t>
      </w:r>
      <w:r>
        <w:rPr>
          <w:rFonts w:ascii="Arial" w:hAnsi="Arial" w:cs="Arial"/>
          <w:sz w:val="20"/>
          <w:szCs w:val="20"/>
        </w:rPr>
        <w:t xml:space="preserve">., (1992), Vaughn, </w:t>
      </w:r>
      <w:r>
        <w:rPr>
          <w:rFonts w:ascii="Arial" w:hAnsi="Arial" w:cs="Arial"/>
          <w:i/>
          <w:iCs/>
          <w:sz w:val="20"/>
          <w:szCs w:val="20"/>
        </w:rPr>
        <w:t>et al</w:t>
      </w:r>
      <w:r>
        <w:rPr>
          <w:rFonts w:ascii="Arial" w:hAnsi="Arial" w:cs="Arial"/>
          <w:sz w:val="20"/>
          <w:szCs w:val="20"/>
        </w:rPr>
        <w:t>. (1977). These cells received as the following:</w:t>
      </w:r>
    </w:p>
    <w:p w:rsidR="00B45E56" w:rsidRDefault="000F5140">
      <w:pPr>
        <w:ind w:firstLine="567"/>
        <w:jc w:val="both"/>
        <w:rPr>
          <w:rFonts w:ascii="Arial" w:hAnsi="Arial" w:cs="Arial"/>
          <w:sz w:val="20"/>
          <w:szCs w:val="20"/>
        </w:rPr>
      </w:pPr>
      <w:r>
        <w:rPr>
          <w:rFonts w:ascii="Arial" w:hAnsi="Arial" w:cs="Arial"/>
          <w:sz w:val="20"/>
          <w:szCs w:val="20"/>
        </w:rPr>
        <w:t>10</w:t>
      </w:r>
      <w:r>
        <w:rPr>
          <w:rFonts w:ascii="Arial" w:hAnsi="Arial" w:cs="Arial"/>
          <w:sz w:val="20"/>
          <w:szCs w:val="20"/>
          <w:vertAlign w:val="superscript"/>
        </w:rPr>
        <w:t>7</w:t>
      </w:r>
      <w:r>
        <w:rPr>
          <w:rFonts w:ascii="Arial" w:hAnsi="Arial" w:cs="Arial"/>
          <w:sz w:val="20"/>
          <w:szCs w:val="20"/>
        </w:rPr>
        <w:t xml:space="preserve"> cells in 1ml 60%Grace`s medium, 30% FBS (fetal bovine serum), and 10% DMSO (Dimethylsulfoxide).</w:t>
      </w:r>
    </w:p>
    <w:p w:rsidR="00B45E56" w:rsidRDefault="000F5140">
      <w:pPr>
        <w:spacing w:before="240"/>
        <w:ind w:firstLine="567"/>
        <w:jc w:val="both"/>
        <w:rPr>
          <w:rFonts w:ascii="Arial" w:hAnsi="Arial" w:cs="Arial"/>
          <w:sz w:val="20"/>
          <w:szCs w:val="20"/>
        </w:rPr>
      </w:pPr>
      <w:r>
        <w:rPr>
          <w:rFonts w:ascii="Arial" w:hAnsi="Arial" w:cs="Arial"/>
          <w:i/>
          <w:iCs/>
          <w:sz w:val="20"/>
          <w:szCs w:val="20"/>
        </w:rPr>
        <w:t>S. furgipedra</w:t>
      </w:r>
      <w:r>
        <w:rPr>
          <w:rFonts w:ascii="Arial" w:hAnsi="Arial" w:cs="Arial"/>
          <w:sz w:val="20"/>
          <w:szCs w:val="20"/>
        </w:rPr>
        <w:t xml:space="preserve"> SF9 cell line was maintained as an attached cell line at 27</w:t>
      </w:r>
      <w:r>
        <w:rPr>
          <w:rFonts w:ascii="Arial" w:hAnsi="Arial" w:cs="Arial"/>
          <w:sz w:val="20"/>
          <w:szCs w:val="20"/>
          <w:vertAlign w:val="superscript"/>
        </w:rPr>
        <w:t>0</w:t>
      </w:r>
      <w:r>
        <w:rPr>
          <w:rFonts w:ascii="Arial" w:hAnsi="Arial" w:cs="Arial"/>
          <w:sz w:val="20"/>
          <w:szCs w:val="20"/>
        </w:rPr>
        <w:t>C in Grace’s medium [55ml of FBS (fetal bovine serum) and 500 µl of a 10 mg/ml stock of gentamycin were added to 500 ml bottles of Grace’s medium], this medium is stable for 3 months at +4</w:t>
      </w:r>
      <w:r>
        <w:rPr>
          <w:rFonts w:ascii="Arial" w:hAnsi="Arial" w:cs="Arial"/>
          <w:sz w:val="20"/>
          <w:szCs w:val="20"/>
          <w:vertAlign w:val="superscript"/>
        </w:rPr>
        <w:t>0</w:t>
      </w:r>
      <w:r>
        <w:rPr>
          <w:rFonts w:ascii="Arial" w:hAnsi="Arial" w:cs="Arial"/>
          <w:sz w:val="20"/>
          <w:szCs w:val="20"/>
        </w:rPr>
        <w:t>C].</w:t>
      </w:r>
    </w:p>
    <w:p w:rsidR="00B45E56" w:rsidRDefault="000F5140">
      <w:pPr>
        <w:spacing w:before="240"/>
        <w:ind w:firstLine="567"/>
        <w:jc w:val="both"/>
        <w:rPr>
          <w:rFonts w:ascii="Arial" w:hAnsi="Arial" w:cs="Arial"/>
          <w:sz w:val="20"/>
          <w:szCs w:val="20"/>
        </w:rPr>
      </w:pPr>
      <w:r>
        <w:rPr>
          <w:rFonts w:ascii="Arial" w:hAnsi="Arial" w:cs="Arial"/>
          <w:sz w:val="20"/>
          <w:szCs w:val="20"/>
        </w:rPr>
        <w:t xml:space="preserve"> To determine the survivability of the </w:t>
      </w:r>
      <w:r>
        <w:rPr>
          <w:rFonts w:ascii="Arial" w:hAnsi="Arial" w:cs="Arial"/>
          <w:i/>
          <w:iCs/>
          <w:sz w:val="20"/>
          <w:szCs w:val="20"/>
        </w:rPr>
        <w:t>S. furgipedra</w:t>
      </w:r>
      <w:r>
        <w:rPr>
          <w:rFonts w:ascii="Arial" w:hAnsi="Arial" w:cs="Arial"/>
          <w:sz w:val="20"/>
          <w:szCs w:val="20"/>
        </w:rPr>
        <w:t xml:space="preserve"> SF9 cells in presence or absence (control) of the tested photosinsitizers under UV or without UV (control), the following procedures were adopted:</w:t>
      </w:r>
    </w:p>
    <w:p w:rsidR="00B45E56" w:rsidRDefault="000F5140">
      <w:pPr>
        <w:ind w:firstLine="567"/>
        <w:jc w:val="both"/>
        <w:rPr>
          <w:rFonts w:ascii="Arial" w:hAnsi="Arial" w:cs="Arial"/>
          <w:sz w:val="20"/>
          <w:szCs w:val="20"/>
        </w:rPr>
      </w:pPr>
      <w:r>
        <w:rPr>
          <w:rFonts w:ascii="Arial" w:hAnsi="Arial" w:cs="Arial"/>
          <w:sz w:val="20"/>
          <w:szCs w:val="20"/>
        </w:rPr>
        <w:t>1- The cells to be trypsinised were washed 2x with 5ml of PBS (Phosphate Buffered Saline) and 4ml of trypsin (1x) were added per T-75 flask. The cells were then returned to 27</w:t>
      </w:r>
      <w:r>
        <w:rPr>
          <w:rFonts w:ascii="Arial" w:hAnsi="Arial" w:cs="Arial"/>
          <w:sz w:val="20"/>
          <w:szCs w:val="20"/>
          <w:vertAlign w:val="superscript"/>
        </w:rPr>
        <w:t>o</w:t>
      </w:r>
      <w:r>
        <w:rPr>
          <w:rFonts w:ascii="Arial" w:hAnsi="Arial" w:cs="Arial"/>
          <w:sz w:val="20"/>
          <w:szCs w:val="20"/>
        </w:rPr>
        <w:t>C and 5% CO</w:t>
      </w:r>
      <w:r>
        <w:rPr>
          <w:rFonts w:ascii="Arial" w:hAnsi="Arial" w:cs="Arial"/>
          <w:sz w:val="20"/>
          <w:szCs w:val="20"/>
          <w:vertAlign w:val="subscript"/>
        </w:rPr>
        <w:t xml:space="preserve">2  </w:t>
      </w:r>
      <w:r>
        <w:rPr>
          <w:rFonts w:ascii="Arial" w:hAnsi="Arial" w:cs="Arial"/>
          <w:sz w:val="20"/>
          <w:szCs w:val="20"/>
        </w:rPr>
        <w:t>for five minutes, in order to allow cell detachment.</w:t>
      </w:r>
    </w:p>
    <w:p w:rsidR="00B45E56" w:rsidRDefault="000F5140">
      <w:pPr>
        <w:ind w:firstLine="567"/>
        <w:jc w:val="both"/>
        <w:rPr>
          <w:rFonts w:ascii="Arial" w:hAnsi="Arial" w:cs="Arial"/>
          <w:sz w:val="20"/>
          <w:szCs w:val="20"/>
        </w:rPr>
      </w:pPr>
      <w:r>
        <w:rPr>
          <w:rFonts w:ascii="Arial" w:hAnsi="Arial" w:cs="Arial"/>
          <w:sz w:val="20"/>
          <w:szCs w:val="20"/>
        </w:rPr>
        <w:t>2- After this time, 8ml of DMEM (Grace’s medium [55ml of FBS (fetal bovine serum) and 500 µl of a 10 mg/ml stock of gentamycin were added to 500 ml bottles of Grace’s medium]) was added to neutralise the action of the trypsin, and the entire volume of fluid was removed and transferred to a sterile centrifuge tube.</w:t>
      </w:r>
    </w:p>
    <w:p w:rsidR="00B45E56" w:rsidRDefault="000F5140">
      <w:pPr>
        <w:ind w:firstLine="567"/>
        <w:jc w:val="both"/>
        <w:rPr>
          <w:rFonts w:ascii="Arial" w:hAnsi="Arial" w:cs="Arial"/>
          <w:sz w:val="20"/>
          <w:szCs w:val="20"/>
        </w:rPr>
      </w:pPr>
      <w:r>
        <w:rPr>
          <w:rFonts w:ascii="Arial" w:hAnsi="Arial" w:cs="Arial"/>
          <w:sz w:val="20"/>
          <w:szCs w:val="20"/>
        </w:rPr>
        <w:t>3- The cells were pelleted by spinning at 1200 rpm for 5 minutes. The supernatant was removed and the cells were resuspended in fresh media.100</w:t>
      </w:r>
      <w:r>
        <w:rPr>
          <w:rFonts w:ascii="Arial" w:hAnsi="Arial" w:cs="Arial"/>
          <w:sz w:val="20"/>
          <w:szCs w:val="20"/>
        </w:rPr>
        <w:sym w:font="Symbol" w:char="F06D"/>
      </w:r>
      <w:r>
        <w:rPr>
          <w:rFonts w:ascii="Arial" w:hAnsi="Arial" w:cs="Arial"/>
          <w:sz w:val="20"/>
          <w:szCs w:val="20"/>
        </w:rPr>
        <w:t>l of this cell suspension was removed for cell counting using trypan blue staining. 200 cells were counted by using Hemacytometer and the number of cells per ml was calculated. The dilution ratio per well was calculated, using the following ratios:</w:t>
      </w:r>
    </w:p>
    <w:p w:rsidR="00B45E56" w:rsidRDefault="000F5140">
      <w:pPr>
        <w:tabs>
          <w:tab w:val="left" w:pos="1515"/>
        </w:tabs>
        <w:ind w:left="1155"/>
        <w:jc w:val="both"/>
        <w:rPr>
          <w:rFonts w:ascii="Arial" w:hAnsi="Arial" w:cs="Arial"/>
          <w:sz w:val="20"/>
          <w:szCs w:val="20"/>
        </w:rPr>
      </w:pPr>
      <w:r>
        <w:rPr>
          <w:rFonts w:ascii="Arial" w:hAnsi="Arial" w:cs="Arial"/>
          <w:sz w:val="20"/>
          <w:szCs w:val="20"/>
        </w:rPr>
        <w:t>24-well plate, 5x10</w:t>
      </w:r>
      <w:r>
        <w:rPr>
          <w:rFonts w:ascii="Arial" w:hAnsi="Arial" w:cs="Arial"/>
          <w:sz w:val="20"/>
          <w:szCs w:val="20"/>
          <w:vertAlign w:val="superscript"/>
        </w:rPr>
        <w:t xml:space="preserve">4 </w:t>
      </w:r>
      <w:r>
        <w:rPr>
          <w:rFonts w:ascii="Arial" w:hAnsi="Arial" w:cs="Arial"/>
          <w:sz w:val="20"/>
          <w:szCs w:val="20"/>
        </w:rPr>
        <w:t>cells/well</w:t>
      </w:r>
    </w:p>
    <w:p w:rsidR="00B45E56" w:rsidRDefault="000F5140">
      <w:pPr>
        <w:tabs>
          <w:tab w:val="left" w:pos="1515"/>
        </w:tabs>
        <w:ind w:left="1155"/>
        <w:jc w:val="both"/>
        <w:rPr>
          <w:rFonts w:ascii="Arial" w:hAnsi="Arial" w:cs="Arial"/>
          <w:sz w:val="20"/>
          <w:szCs w:val="20"/>
        </w:rPr>
      </w:pPr>
      <w:r>
        <w:rPr>
          <w:rFonts w:ascii="Arial" w:hAnsi="Arial" w:cs="Arial"/>
          <w:sz w:val="20"/>
          <w:szCs w:val="20"/>
        </w:rPr>
        <w:t>48-well plate, 2. 5x10</w:t>
      </w:r>
      <w:r>
        <w:rPr>
          <w:rFonts w:ascii="Arial" w:hAnsi="Arial" w:cs="Arial"/>
          <w:sz w:val="20"/>
          <w:szCs w:val="20"/>
          <w:vertAlign w:val="superscript"/>
        </w:rPr>
        <w:t xml:space="preserve">4 </w:t>
      </w:r>
      <w:r>
        <w:rPr>
          <w:rFonts w:ascii="Arial" w:hAnsi="Arial" w:cs="Arial"/>
          <w:sz w:val="20"/>
          <w:szCs w:val="20"/>
        </w:rPr>
        <w:t xml:space="preserve">cells/well      </w:t>
      </w:r>
    </w:p>
    <w:p w:rsidR="00B45E56" w:rsidRDefault="000F5140">
      <w:pPr>
        <w:numPr>
          <w:ilvl w:val="0"/>
          <w:numId w:val="14"/>
        </w:numPr>
        <w:tabs>
          <w:tab w:val="left" w:pos="1425"/>
        </w:tabs>
        <w:jc w:val="both"/>
        <w:rPr>
          <w:rFonts w:ascii="Arial" w:hAnsi="Arial" w:cs="Arial"/>
          <w:sz w:val="20"/>
          <w:szCs w:val="20"/>
        </w:rPr>
      </w:pPr>
      <w:r>
        <w:rPr>
          <w:rFonts w:ascii="Arial" w:hAnsi="Arial" w:cs="Arial"/>
          <w:sz w:val="20"/>
          <w:szCs w:val="20"/>
        </w:rPr>
        <w:t>The cells were thus seeded and media to a final volume of 1ml for 24-well plate, 0.5ml for 48-well plate was added. The plates were then transferred to 27</w:t>
      </w:r>
      <w:r>
        <w:rPr>
          <w:rFonts w:ascii="Arial" w:hAnsi="Arial" w:cs="Arial"/>
          <w:sz w:val="20"/>
          <w:szCs w:val="20"/>
          <w:vertAlign w:val="superscript"/>
        </w:rPr>
        <w:t>o</w:t>
      </w:r>
      <w:r>
        <w:rPr>
          <w:rFonts w:ascii="Arial" w:hAnsi="Arial" w:cs="Arial"/>
          <w:sz w:val="20"/>
          <w:szCs w:val="20"/>
        </w:rPr>
        <w:t>C and allowed to attach and grow overnight. Then the media were removed. 100</w:t>
      </w:r>
      <w:r>
        <w:rPr>
          <w:rFonts w:ascii="Arial" w:hAnsi="Arial" w:cs="Arial"/>
          <w:sz w:val="20"/>
          <w:szCs w:val="20"/>
        </w:rPr>
        <w:sym w:font="Symbol" w:char="F06D"/>
      </w:r>
      <w:r>
        <w:rPr>
          <w:rFonts w:ascii="Arial" w:hAnsi="Arial" w:cs="Arial"/>
          <w:sz w:val="20"/>
          <w:szCs w:val="20"/>
        </w:rPr>
        <w:t>l of PBS were put per each well for washing with care. The different concentrations of the tested photosinsitizer were made from the prepared stock using PBS for dilution, 1ml was added to each 24- well plate, while 0.5 ml were added to each 48-well. Before irradiation, cells were incubated with the tested photosinsitizers for 1 hour at 27</w:t>
      </w:r>
      <w:r>
        <w:rPr>
          <w:rFonts w:ascii="Arial" w:hAnsi="Arial" w:cs="Arial"/>
          <w:sz w:val="20"/>
          <w:szCs w:val="20"/>
          <w:vertAlign w:val="superscript"/>
        </w:rPr>
        <w:t>o</w:t>
      </w:r>
      <w:r>
        <w:rPr>
          <w:rFonts w:ascii="Arial" w:hAnsi="Arial" w:cs="Arial"/>
          <w:sz w:val="20"/>
          <w:szCs w:val="20"/>
        </w:rPr>
        <w:t>C</w:t>
      </w:r>
    </w:p>
    <w:p w:rsidR="00B45E56" w:rsidRDefault="000F5140">
      <w:pPr>
        <w:tabs>
          <w:tab w:val="left" w:pos="1425"/>
        </w:tabs>
        <w:ind w:left="795"/>
        <w:jc w:val="both"/>
        <w:rPr>
          <w:rFonts w:ascii="Arial" w:hAnsi="Arial" w:cs="Arial"/>
          <w:sz w:val="20"/>
          <w:szCs w:val="20"/>
        </w:rPr>
      </w:pPr>
      <w:r>
        <w:rPr>
          <w:rFonts w:ascii="Arial" w:hAnsi="Arial" w:cs="Arial"/>
          <w:sz w:val="20"/>
          <w:szCs w:val="20"/>
        </w:rPr>
        <w:t>The UV lamp was turned on 10 minutes prior to irradiation, in order to allow it to equilibrate. Irradiation was carried out with the cells on ice (using an ice pack wrapped in tissue), and the cells were irradiated for 2o minutes. Silver foil was placed over the control wells.</w:t>
      </w:r>
    </w:p>
    <w:p w:rsidR="00B45E56" w:rsidRDefault="000F5140">
      <w:pPr>
        <w:tabs>
          <w:tab w:val="left" w:pos="1425"/>
        </w:tabs>
        <w:ind w:left="795"/>
        <w:jc w:val="both"/>
        <w:rPr>
          <w:rFonts w:ascii="Arial" w:hAnsi="Arial" w:cs="Arial"/>
          <w:sz w:val="20"/>
          <w:szCs w:val="20"/>
        </w:rPr>
      </w:pPr>
      <w:r>
        <w:rPr>
          <w:rFonts w:ascii="Arial" w:hAnsi="Arial" w:cs="Arial"/>
          <w:sz w:val="20"/>
          <w:szCs w:val="20"/>
        </w:rPr>
        <w:t>At the end of irradiation the plastic cover was replaced and the cells were put under hood .The tested photosinsitizers and PBS were removed then washed with PBS. Immediate analysis was made immediately using either trypan blue cell counts or MTT assay.</w:t>
      </w:r>
    </w:p>
    <w:p w:rsidR="00B45E56" w:rsidRDefault="000F5140">
      <w:pPr>
        <w:ind w:left="795"/>
        <w:jc w:val="both"/>
        <w:rPr>
          <w:rFonts w:ascii="Arial" w:hAnsi="Arial" w:cs="Arial"/>
          <w:sz w:val="20"/>
          <w:szCs w:val="20"/>
        </w:rPr>
      </w:pPr>
      <w:r>
        <w:rPr>
          <w:rFonts w:ascii="Arial" w:hAnsi="Arial" w:cs="Arial"/>
          <w:b/>
          <w:bCs/>
          <w:sz w:val="20"/>
          <w:szCs w:val="20"/>
        </w:rPr>
        <w:t>Note</w:t>
      </w:r>
      <w:r>
        <w:rPr>
          <w:rFonts w:ascii="Arial" w:hAnsi="Arial" w:cs="Arial"/>
          <w:sz w:val="20"/>
          <w:szCs w:val="20"/>
        </w:rPr>
        <w:t>: The percentage of cells mortality was plotted against the tested concentrations and the LC</w:t>
      </w:r>
      <w:r>
        <w:rPr>
          <w:rFonts w:ascii="Arial" w:hAnsi="Arial" w:cs="Arial"/>
          <w:sz w:val="20"/>
          <w:szCs w:val="20"/>
          <w:vertAlign w:val="subscript"/>
        </w:rPr>
        <w:t>50</w:t>
      </w:r>
      <w:r>
        <w:rPr>
          <w:rFonts w:ascii="Arial" w:hAnsi="Arial" w:cs="Arial"/>
          <w:sz w:val="20"/>
          <w:szCs w:val="20"/>
        </w:rPr>
        <w:t xml:space="preserve"> value were determined. Mortality percentage was always corrected by Abbott’s formula (1925) if the mortality in control exceeds 5%. </w:t>
      </w:r>
    </w:p>
    <w:p w:rsidR="00B45E56" w:rsidRDefault="000F5140">
      <w:pPr>
        <w:pStyle w:val="Heading5"/>
        <w:tabs>
          <w:tab w:val="left" w:pos="630"/>
        </w:tabs>
        <w:spacing w:line="240" w:lineRule="auto"/>
        <w:ind w:left="630" w:hanging="630"/>
        <w:rPr>
          <w:rFonts w:ascii="Arial" w:hAnsi="Arial" w:cs="Arial"/>
          <w:sz w:val="20"/>
          <w:szCs w:val="20"/>
        </w:rPr>
      </w:pPr>
      <w:r>
        <w:rPr>
          <w:rFonts w:ascii="Arial" w:hAnsi="Arial" w:cs="Arial"/>
          <w:sz w:val="20"/>
          <w:szCs w:val="20"/>
        </w:rPr>
        <w:t>MTT Assay</w:t>
      </w:r>
    </w:p>
    <w:p w:rsidR="00B45E56" w:rsidRDefault="000F5140">
      <w:pPr>
        <w:pStyle w:val="Heading5"/>
        <w:tabs>
          <w:tab w:val="left" w:pos="630"/>
        </w:tabs>
        <w:spacing w:line="240" w:lineRule="auto"/>
        <w:ind w:left="630" w:hanging="630"/>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t xml:space="preserve">The (3-[4,5-Dimethylthiazol-2-yl]-2,5-diphenyltetrazolium bromide) Thiazolyl blue was used. According to Mosmann (1983) and Yu Da, Yu Lin-Lin (1993). The </w:t>
      </w:r>
      <w:r>
        <w:rPr>
          <w:rFonts w:ascii="Arial" w:hAnsi="Arial" w:cs="Arial"/>
          <w:b w:val="0"/>
          <w:bCs w:val="0"/>
          <w:i/>
          <w:iCs/>
          <w:sz w:val="20"/>
          <w:szCs w:val="20"/>
        </w:rPr>
        <w:t>S. furgipedra</w:t>
      </w:r>
      <w:r>
        <w:rPr>
          <w:rFonts w:ascii="Arial" w:hAnsi="Arial" w:cs="Arial"/>
          <w:b w:val="0"/>
          <w:bCs w:val="0"/>
          <w:sz w:val="20"/>
          <w:szCs w:val="20"/>
        </w:rPr>
        <w:t xml:space="preserve"> SF9 cells (250.000/0.5ml) after treatment were subjected to the following:</w:t>
      </w:r>
    </w:p>
    <w:p w:rsidR="00B45E56" w:rsidRDefault="000F5140">
      <w:pPr>
        <w:numPr>
          <w:ilvl w:val="0"/>
          <w:numId w:val="15"/>
        </w:numPr>
        <w:rPr>
          <w:rFonts w:ascii="Arial" w:hAnsi="Arial" w:cs="Arial"/>
          <w:sz w:val="20"/>
          <w:szCs w:val="20"/>
        </w:rPr>
      </w:pPr>
      <w:r>
        <w:rPr>
          <w:rFonts w:ascii="Arial" w:hAnsi="Arial" w:cs="Arial"/>
          <w:sz w:val="20"/>
          <w:szCs w:val="20"/>
        </w:rPr>
        <w:t>A 5mg /ml stock solution of MTT was freshly prepared in PBS, and filter-sterilized.</w:t>
      </w:r>
    </w:p>
    <w:p w:rsidR="00B45E56" w:rsidRDefault="000F5140">
      <w:pPr>
        <w:ind w:left="720"/>
        <w:rPr>
          <w:rFonts w:ascii="Arial" w:hAnsi="Arial" w:cs="Arial"/>
          <w:sz w:val="20"/>
          <w:szCs w:val="20"/>
        </w:rPr>
      </w:pPr>
      <w:r>
        <w:rPr>
          <w:rFonts w:ascii="Arial" w:hAnsi="Arial" w:cs="Arial"/>
          <w:sz w:val="20"/>
          <w:szCs w:val="20"/>
        </w:rPr>
        <w:t>2- 50</w:t>
      </w:r>
      <w:r>
        <w:rPr>
          <w:rFonts w:ascii="Arial" w:hAnsi="Arial" w:cs="Arial"/>
          <w:sz w:val="20"/>
          <w:szCs w:val="20"/>
        </w:rPr>
        <w:sym w:font="Symbol" w:char="F06D"/>
      </w:r>
      <w:r>
        <w:rPr>
          <w:rFonts w:ascii="Arial" w:hAnsi="Arial" w:cs="Arial"/>
          <w:sz w:val="20"/>
          <w:szCs w:val="20"/>
        </w:rPr>
        <w:t>l of the stock solution was added to 0.5 ml of media (48-well plate) and the cells were incubated for 1.5 hour at 27</w:t>
      </w:r>
      <w:r>
        <w:rPr>
          <w:rFonts w:ascii="Arial" w:hAnsi="Arial" w:cs="Arial"/>
          <w:sz w:val="20"/>
          <w:szCs w:val="20"/>
          <w:vertAlign w:val="superscript"/>
        </w:rPr>
        <w:t>o</w:t>
      </w:r>
      <w:r>
        <w:rPr>
          <w:rFonts w:ascii="Arial" w:hAnsi="Arial" w:cs="Arial"/>
          <w:sz w:val="20"/>
          <w:szCs w:val="20"/>
        </w:rPr>
        <w:t>C.MTT was to be added to samples at a ratio of 10% of the volume of the sample.</w:t>
      </w:r>
    </w:p>
    <w:p w:rsidR="00B45E56" w:rsidRDefault="00B45E56">
      <w:pPr>
        <w:ind w:left="720"/>
        <w:rPr>
          <w:rFonts w:ascii="Arial" w:hAnsi="Arial" w:cs="Arial"/>
          <w:sz w:val="20"/>
          <w:szCs w:val="20"/>
        </w:rPr>
      </w:pPr>
    </w:p>
    <w:p w:rsidR="00B45E56" w:rsidRDefault="000F5140">
      <w:pPr>
        <w:tabs>
          <w:tab w:val="left" w:pos="5812"/>
        </w:tabs>
        <w:ind w:left="720"/>
        <w:rPr>
          <w:rFonts w:ascii="Arial" w:hAnsi="Arial" w:cs="Arial"/>
          <w:sz w:val="20"/>
          <w:szCs w:val="20"/>
        </w:rPr>
      </w:pPr>
      <w:r>
        <w:rPr>
          <w:rFonts w:ascii="Arial" w:hAnsi="Arial" w:cs="Arial"/>
          <w:sz w:val="20"/>
          <w:szCs w:val="20"/>
        </w:rPr>
        <w:t>3- After the incubation, the media was removed and the cells were washed with 100</w:t>
      </w:r>
      <w:r>
        <w:rPr>
          <w:rFonts w:ascii="Arial" w:hAnsi="Arial" w:cs="Arial"/>
          <w:sz w:val="20"/>
          <w:szCs w:val="20"/>
        </w:rPr>
        <w:sym w:font="Symbol" w:char="F06D"/>
      </w:r>
      <w:r>
        <w:rPr>
          <w:rFonts w:ascii="Arial" w:hAnsi="Arial" w:cs="Arial"/>
          <w:sz w:val="20"/>
          <w:szCs w:val="20"/>
        </w:rPr>
        <w:t xml:space="preserve">l of PBS then can be viewed under the inverted microscope.1ml of DMSO was then added to the wells </w:t>
      </w:r>
      <w:r>
        <w:rPr>
          <w:rFonts w:ascii="Arial" w:hAnsi="Arial" w:cs="Arial"/>
          <w:sz w:val="20"/>
          <w:szCs w:val="20"/>
        </w:rPr>
        <w:lastRenderedPageBreak/>
        <w:t>and the samples were agitated gently, and the absorbance of each well was read at 570nm immediately.</w:t>
      </w:r>
    </w:p>
    <w:p w:rsidR="00B45E56" w:rsidRDefault="000F5140">
      <w:pPr>
        <w:pStyle w:val="Heading3"/>
        <w:rPr>
          <w:sz w:val="20"/>
          <w:szCs w:val="20"/>
        </w:rPr>
      </w:pPr>
      <w:r>
        <w:rPr>
          <w:sz w:val="20"/>
          <w:szCs w:val="20"/>
        </w:rPr>
        <w:t>Irradiation</w:t>
      </w:r>
    </w:p>
    <w:p w:rsidR="00B45E56" w:rsidRDefault="00B45E56">
      <w:pPr>
        <w:rPr>
          <w:rFonts w:ascii="Arial" w:hAnsi="Arial" w:cs="Arial"/>
          <w:b/>
          <w:bCs/>
          <w:sz w:val="20"/>
          <w:szCs w:val="20"/>
        </w:rPr>
      </w:pPr>
    </w:p>
    <w:p w:rsidR="00B45E56" w:rsidRDefault="000F5140">
      <w:pPr>
        <w:pStyle w:val="Heading4"/>
        <w:ind w:left="567" w:firstLine="567"/>
        <w:rPr>
          <w:rFonts w:ascii="Arial" w:hAnsi="Arial" w:cs="Arial"/>
          <w:sz w:val="20"/>
          <w:szCs w:val="20"/>
        </w:rPr>
      </w:pPr>
      <w:r>
        <w:rPr>
          <w:rFonts w:ascii="Arial" w:hAnsi="Arial" w:cs="Arial"/>
          <w:sz w:val="20"/>
          <w:szCs w:val="20"/>
        </w:rPr>
        <w:t>The artificial light source used was a Philips UVA lamp (HP3148/A, half body, 8TL09 lamps of 40W each, from Philips Electronics, Croydon) with an average output of 6.8x10</w:t>
      </w:r>
      <w:r>
        <w:rPr>
          <w:rFonts w:ascii="Arial" w:hAnsi="Arial" w:cs="Arial"/>
          <w:sz w:val="20"/>
          <w:szCs w:val="20"/>
          <w:vertAlign w:val="superscript"/>
        </w:rPr>
        <w:t>5</w:t>
      </w:r>
      <w:r>
        <w:rPr>
          <w:rFonts w:ascii="Arial" w:hAnsi="Arial" w:cs="Arial"/>
          <w:sz w:val="20"/>
          <w:szCs w:val="20"/>
        </w:rPr>
        <w:t>W cm</w:t>
      </w:r>
      <w:r>
        <w:rPr>
          <w:rFonts w:ascii="Arial" w:hAnsi="Arial" w:cs="Arial"/>
          <w:sz w:val="20"/>
          <w:szCs w:val="20"/>
          <w:vertAlign w:val="superscript"/>
        </w:rPr>
        <w:t>-2</w:t>
      </w:r>
      <w:r>
        <w:rPr>
          <w:rFonts w:ascii="Arial" w:hAnsi="Arial" w:cs="Arial"/>
          <w:sz w:val="20"/>
          <w:szCs w:val="20"/>
        </w:rPr>
        <w:t xml:space="preserve"> UVA and 6.1x10</w:t>
      </w:r>
      <w:r>
        <w:rPr>
          <w:rFonts w:ascii="Arial" w:hAnsi="Arial" w:cs="Arial"/>
          <w:sz w:val="20"/>
          <w:szCs w:val="20"/>
          <w:vertAlign w:val="superscript"/>
        </w:rPr>
        <w:t xml:space="preserve">3  </w:t>
      </w:r>
      <w:r>
        <w:rPr>
          <w:rFonts w:ascii="Arial" w:hAnsi="Arial" w:cs="Arial"/>
          <w:sz w:val="20"/>
          <w:szCs w:val="20"/>
        </w:rPr>
        <w:t>Wcm</w:t>
      </w:r>
      <w:r>
        <w:rPr>
          <w:rFonts w:ascii="Arial" w:hAnsi="Arial" w:cs="Arial"/>
          <w:sz w:val="20"/>
          <w:szCs w:val="20"/>
          <w:vertAlign w:val="superscript"/>
        </w:rPr>
        <w:t>-2</w:t>
      </w:r>
      <w:r>
        <w:rPr>
          <w:rFonts w:ascii="Arial" w:hAnsi="Arial" w:cs="Arial"/>
          <w:sz w:val="20"/>
          <w:szCs w:val="20"/>
        </w:rPr>
        <w:t>UVB. The light intensity of the lamp was measured using a Glen Spectral Radiometer, model 1680B. The irradiation dose used was 7783 Jm-</w:t>
      </w:r>
      <w:r>
        <w:rPr>
          <w:rFonts w:ascii="Arial" w:hAnsi="Arial" w:cs="Arial"/>
          <w:sz w:val="20"/>
          <w:szCs w:val="20"/>
          <w:vertAlign w:val="superscript"/>
        </w:rPr>
        <w:t>2</w:t>
      </w:r>
      <w:r>
        <w:rPr>
          <w:rFonts w:ascii="Arial" w:hAnsi="Arial" w:cs="Arial"/>
          <w:sz w:val="20"/>
          <w:szCs w:val="20"/>
        </w:rPr>
        <w:t>.</w:t>
      </w:r>
    </w:p>
    <w:p w:rsidR="00B45E56" w:rsidRDefault="000F5140">
      <w:pPr>
        <w:rPr>
          <w:rFonts w:ascii="Arial" w:hAnsi="Arial" w:cs="Arial"/>
          <w:b/>
          <w:bCs/>
          <w:sz w:val="20"/>
          <w:szCs w:val="20"/>
        </w:rPr>
      </w:pPr>
      <w:r>
        <w:rPr>
          <w:rFonts w:ascii="Arial" w:hAnsi="Arial" w:cs="Arial"/>
          <w:b/>
          <w:bCs/>
          <w:sz w:val="20"/>
          <w:szCs w:val="20"/>
        </w:rPr>
        <w:t>The statistical analysis</w:t>
      </w:r>
    </w:p>
    <w:p w:rsidR="00B45E56" w:rsidRDefault="00B45E56">
      <w:pPr>
        <w:rPr>
          <w:rFonts w:ascii="Arial" w:hAnsi="Arial" w:cs="Arial"/>
          <w:sz w:val="20"/>
          <w:szCs w:val="20"/>
        </w:rPr>
      </w:pPr>
    </w:p>
    <w:p w:rsidR="00B45E56" w:rsidRDefault="000F5140">
      <w:pPr>
        <w:rPr>
          <w:rFonts w:ascii="Arial" w:hAnsi="Arial" w:cs="Arial"/>
          <w:sz w:val="20"/>
          <w:szCs w:val="20"/>
        </w:rPr>
      </w:pPr>
      <w:r>
        <w:rPr>
          <w:rFonts w:ascii="Arial" w:hAnsi="Arial" w:cs="Arial"/>
          <w:sz w:val="20"/>
          <w:szCs w:val="20"/>
        </w:rPr>
        <w:tab/>
        <w:t>The statistical analysis was performed using t-test and analysis of variance.</w:t>
      </w:r>
    </w:p>
    <w:p w:rsidR="00B45E56" w:rsidRDefault="00B45E56">
      <w:pPr>
        <w:rPr>
          <w:rFonts w:ascii="Arial" w:hAnsi="Arial" w:cs="Arial"/>
          <w:sz w:val="20"/>
          <w:szCs w:val="20"/>
        </w:rPr>
      </w:pPr>
    </w:p>
    <w:p w:rsidR="00B45E56" w:rsidRDefault="000F5140">
      <w:pPr>
        <w:jc w:val="center"/>
        <w:rPr>
          <w:rFonts w:ascii="Arial" w:hAnsi="Arial" w:cs="Arial"/>
          <w:b/>
          <w:bCs/>
          <w:sz w:val="20"/>
          <w:szCs w:val="20"/>
        </w:rPr>
      </w:pPr>
      <w:r>
        <w:rPr>
          <w:rFonts w:ascii="Arial" w:hAnsi="Arial" w:cs="Arial"/>
          <w:b/>
          <w:bCs/>
          <w:sz w:val="20"/>
          <w:szCs w:val="20"/>
        </w:rPr>
        <w:t>RESULTS</w:t>
      </w:r>
    </w:p>
    <w:p w:rsidR="00B45E56" w:rsidRDefault="000F5140">
      <w:pPr>
        <w:rPr>
          <w:rFonts w:ascii="Arial" w:hAnsi="Arial" w:cs="Arial"/>
          <w:sz w:val="20"/>
          <w:szCs w:val="20"/>
        </w:rPr>
      </w:pPr>
      <w:r>
        <w:rPr>
          <w:rFonts w:ascii="Arial" w:hAnsi="Arial" w:cs="Arial"/>
          <w:sz w:val="20"/>
          <w:szCs w:val="20"/>
        </w:rPr>
        <w:tab/>
      </w:r>
    </w:p>
    <w:p w:rsidR="00B45E56" w:rsidRDefault="000F5140">
      <w:pPr>
        <w:ind w:firstLine="720"/>
        <w:jc w:val="both"/>
        <w:rPr>
          <w:rFonts w:ascii="Arial" w:hAnsi="Arial" w:cs="Arial"/>
          <w:sz w:val="20"/>
          <w:szCs w:val="20"/>
        </w:rPr>
      </w:pPr>
      <w:r>
        <w:rPr>
          <w:rFonts w:ascii="Arial" w:hAnsi="Arial" w:cs="Arial"/>
          <w:sz w:val="20"/>
          <w:szCs w:val="20"/>
        </w:rPr>
        <w:t xml:space="preserve">Results of the present experiments are shown in Tables (1 and 2) and graphically illustrated in   Figures  (1,2 and3). The obtained data indicated that the cells survivability was highly affected by B-Phenylpyruvic acid and Hematoporphyrin IX as in Table (1). However, the photodynamic effect of the L-tryptophan, Mandelic acid, Histidine and L-b-phenyl lactic acid as determined by MTT assay are found to be weak in comparison with control experiments as indicated in Table (2). The response is dose-dependent, i.e. the cells mortality increases with the increase of the concentration as indicated in Table (1). The obtained data indicate also the following: </w:t>
      </w:r>
    </w:p>
    <w:p w:rsidR="00B45E56" w:rsidRDefault="000F5140">
      <w:pPr>
        <w:rPr>
          <w:rFonts w:ascii="Arial" w:hAnsi="Arial" w:cs="Arial"/>
          <w:sz w:val="20"/>
          <w:szCs w:val="20"/>
        </w:rPr>
      </w:pPr>
      <w:r>
        <w:rPr>
          <w:rFonts w:ascii="Arial" w:hAnsi="Arial" w:cs="Arial"/>
          <w:sz w:val="20"/>
          <w:szCs w:val="20"/>
        </w:rPr>
        <w:t>1-There is a significant increase in cells mortality due the effect of the B-Phenylpyruvic acid and the Hematoporphyrin as determined by MTT assay, (p&lt;0.05). There was no much significance difference between the cells treated with L-tryptophan, Mandelic acid, Histidine or L-b-phenyl lactic acid as determined by MTT assay. The degree of cell inhibitions does not yield sufficient mortality to calculate LC</w:t>
      </w:r>
      <w:r>
        <w:rPr>
          <w:rFonts w:ascii="Arial" w:hAnsi="Arial" w:cs="Arial"/>
          <w:sz w:val="20"/>
          <w:szCs w:val="20"/>
          <w:vertAlign w:val="subscript"/>
        </w:rPr>
        <w:t>50</w:t>
      </w:r>
      <w:r>
        <w:rPr>
          <w:rFonts w:ascii="Arial" w:hAnsi="Arial" w:cs="Arial"/>
          <w:sz w:val="20"/>
          <w:szCs w:val="20"/>
        </w:rPr>
        <w:t xml:space="preserve"> ,even with higher doses.</w:t>
      </w:r>
    </w:p>
    <w:p w:rsidR="00B45E56" w:rsidRDefault="000F5140">
      <w:pPr>
        <w:jc w:val="both"/>
        <w:rPr>
          <w:rFonts w:ascii="Arial" w:hAnsi="Arial" w:cs="Arial"/>
          <w:sz w:val="20"/>
          <w:szCs w:val="20"/>
        </w:rPr>
      </w:pPr>
      <w:r>
        <w:rPr>
          <w:rFonts w:ascii="Arial" w:hAnsi="Arial" w:cs="Arial"/>
          <w:sz w:val="20"/>
          <w:szCs w:val="20"/>
        </w:rPr>
        <w:t>2-The cell viability was greatly affected by Hematoporphyrin IX followed by B-Phenylpyruvic acid based on LC</w:t>
      </w:r>
      <w:r>
        <w:rPr>
          <w:rFonts w:ascii="Arial" w:hAnsi="Arial" w:cs="Arial"/>
          <w:sz w:val="20"/>
          <w:szCs w:val="20"/>
          <w:vertAlign w:val="subscript"/>
        </w:rPr>
        <w:t xml:space="preserve">50 </w:t>
      </w:r>
      <w:r>
        <w:rPr>
          <w:rFonts w:ascii="Arial" w:hAnsi="Arial" w:cs="Arial"/>
          <w:sz w:val="20"/>
          <w:szCs w:val="20"/>
        </w:rPr>
        <w:t xml:space="preserve">`s in Table (1) and shown graphically in   Figure  (3). </w:t>
      </w:r>
    </w:p>
    <w:p w:rsidR="00B45E56" w:rsidRDefault="000F5140">
      <w:pPr>
        <w:pStyle w:val="BodyText2"/>
        <w:jc w:val="both"/>
      </w:pPr>
      <w:r>
        <w:t xml:space="preserve">3-The effect of L-tryptophan, Mandelic acid, Histidine or L-b-phenyl lactic acid concentrations within the range 7.5-.001 mM/ml does not affected the cell viability in significance level to induce cells apoptosis. This was confirmed also by trypan blue staining. </w:t>
      </w:r>
    </w:p>
    <w:p w:rsidR="00B45E56" w:rsidRDefault="000F5140">
      <w:pPr>
        <w:ind w:firstLine="720"/>
        <w:jc w:val="both"/>
        <w:rPr>
          <w:rFonts w:ascii="Arial" w:hAnsi="Arial" w:cs="Arial"/>
          <w:sz w:val="20"/>
          <w:szCs w:val="20"/>
        </w:rPr>
      </w:pPr>
      <w:r>
        <w:rPr>
          <w:rFonts w:ascii="Arial" w:hAnsi="Arial" w:cs="Arial"/>
          <w:sz w:val="20"/>
          <w:szCs w:val="20"/>
        </w:rPr>
        <w:t>.</w:t>
      </w:r>
    </w:p>
    <w:p w:rsidR="00B45E56" w:rsidRDefault="00B45E56">
      <w:pPr>
        <w:rPr>
          <w:rFonts w:ascii="Arial" w:hAnsi="Arial" w:cs="Arial"/>
          <w:sz w:val="20"/>
          <w:szCs w:val="20"/>
        </w:rPr>
      </w:pPr>
    </w:p>
    <w:p w:rsidR="00B45E56" w:rsidRDefault="000F5140">
      <w:pPr>
        <w:jc w:val="both"/>
        <w:rPr>
          <w:rFonts w:ascii="Arial" w:hAnsi="Arial" w:cs="Arial"/>
          <w:sz w:val="20"/>
          <w:szCs w:val="20"/>
        </w:rPr>
      </w:pPr>
      <w:r>
        <w:rPr>
          <w:rFonts w:ascii="Arial" w:hAnsi="Arial" w:cs="Arial"/>
          <w:sz w:val="20"/>
          <w:szCs w:val="20"/>
        </w:rPr>
        <w:t>Table (1):</w:t>
      </w:r>
    </w:p>
    <w:p w:rsidR="00B45E56" w:rsidRDefault="000F5140">
      <w:pPr>
        <w:jc w:val="both"/>
        <w:rPr>
          <w:rFonts w:ascii="Arial" w:hAnsi="Arial" w:cs="Arial"/>
          <w:sz w:val="20"/>
          <w:szCs w:val="20"/>
        </w:rPr>
      </w:pPr>
      <w:r>
        <w:rPr>
          <w:rFonts w:ascii="Arial" w:hAnsi="Arial" w:cs="Arial"/>
          <w:sz w:val="20"/>
          <w:szCs w:val="20"/>
        </w:rPr>
        <w:t xml:space="preserve">Survivability of the </w:t>
      </w:r>
      <w:r>
        <w:rPr>
          <w:rFonts w:ascii="Arial" w:hAnsi="Arial" w:cs="Arial"/>
          <w:i/>
          <w:iCs/>
          <w:sz w:val="20"/>
          <w:szCs w:val="20"/>
        </w:rPr>
        <w:t>S. furgipedra</w:t>
      </w:r>
      <w:r>
        <w:rPr>
          <w:rFonts w:ascii="Arial" w:hAnsi="Arial" w:cs="Arial"/>
          <w:sz w:val="20"/>
          <w:szCs w:val="20"/>
        </w:rPr>
        <w:t xml:space="preserve"> SF9 cells (250.000/0.5ml) due to the effect of the photosensitizer B-Phenylpyruvic acid or Hematoporphyrin IX with different concentrations after UV exposure (380- 400 W/M</w:t>
      </w:r>
      <w:r>
        <w:rPr>
          <w:rFonts w:ascii="Arial" w:hAnsi="Arial" w:cs="Arial"/>
          <w:sz w:val="20"/>
          <w:szCs w:val="20"/>
          <w:vertAlign w:val="superscript"/>
        </w:rPr>
        <w:t>2</w:t>
      </w:r>
      <w:r>
        <w:rPr>
          <w:rFonts w:ascii="Arial" w:hAnsi="Arial" w:cs="Arial"/>
          <w:sz w:val="20"/>
          <w:szCs w:val="20"/>
        </w:rPr>
        <w:t xml:space="preserve"> artificial lights).</w:t>
      </w:r>
    </w:p>
    <w:p w:rsidR="00B45E56" w:rsidRDefault="00B45E56">
      <w:pPr>
        <w:rPr>
          <w:rFonts w:ascii="Arial" w:hAnsi="Arial" w:cs="Arial"/>
          <w:sz w:val="20"/>
          <w:szCs w:val="20"/>
        </w:rPr>
      </w:pPr>
    </w:p>
    <w:p w:rsidR="00B45E56" w:rsidRDefault="00B45E56">
      <w:pPr>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8"/>
        <w:gridCol w:w="1720"/>
        <w:gridCol w:w="1967"/>
        <w:gridCol w:w="1965"/>
      </w:tblGrid>
      <w:tr w:rsidR="00B45E56">
        <w:tc>
          <w:tcPr>
            <w:tcW w:w="1808" w:type="dxa"/>
          </w:tcPr>
          <w:p w:rsidR="00B45E56" w:rsidRDefault="000F5140">
            <w:pPr>
              <w:rPr>
                <w:rFonts w:ascii="Arial" w:hAnsi="Arial" w:cs="Arial"/>
                <w:sz w:val="20"/>
                <w:szCs w:val="20"/>
              </w:rPr>
            </w:pPr>
            <w:r>
              <w:rPr>
                <w:rFonts w:ascii="Arial" w:hAnsi="Arial" w:cs="Arial"/>
                <w:sz w:val="20"/>
                <w:szCs w:val="20"/>
              </w:rPr>
              <w:t>Concentrations</w:t>
            </w:r>
          </w:p>
          <w:p w:rsidR="00B45E56" w:rsidRDefault="000F5140">
            <w:pPr>
              <w:rPr>
                <w:rFonts w:ascii="Arial" w:hAnsi="Arial" w:cs="Arial"/>
                <w:sz w:val="20"/>
                <w:szCs w:val="20"/>
              </w:rPr>
            </w:pPr>
            <w:r>
              <w:rPr>
                <w:rFonts w:ascii="Arial" w:hAnsi="Arial" w:cs="Arial"/>
                <w:sz w:val="20"/>
                <w:szCs w:val="20"/>
              </w:rPr>
              <w:t>(mM/ml)</w:t>
            </w:r>
          </w:p>
        </w:tc>
        <w:tc>
          <w:tcPr>
            <w:tcW w:w="1720" w:type="dxa"/>
          </w:tcPr>
          <w:p w:rsidR="00B45E56" w:rsidRDefault="000F5140">
            <w:pPr>
              <w:rPr>
                <w:rFonts w:ascii="Arial" w:hAnsi="Arial" w:cs="Arial"/>
                <w:sz w:val="20"/>
                <w:szCs w:val="20"/>
              </w:rPr>
            </w:pPr>
            <w:r>
              <w:rPr>
                <w:rFonts w:ascii="Arial" w:hAnsi="Arial" w:cs="Arial"/>
                <w:sz w:val="20"/>
                <w:szCs w:val="20"/>
              </w:rPr>
              <w:t>Control without irradiation</w:t>
            </w:r>
          </w:p>
          <w:p w:rsidR="00B45E56" w:rsidRDefault="00B45E56">
            <w:pPr>
              <w:rPr>
                <w:rFonts w:ascii="Arial" w:hAnsi="Arial" w:cs="Arial"/>
                <w:sz w:val="20"/>
                <w:szCs w:val="20"/>
              </w:rPr>
            </w:pPr>
          </w:p>
          <w:p w:rsidR="00B45E56" w:rsidRDefault="000F5140">
            <w:pPr>
              <w:rPr>
                <w:rFonts w:ascii="Arial" w:hAnsi="Arial" w:cs="Arial"/>
                <w:sz w:val="20"/>
                <w:szCs w:val="20"/>
              </w:rPr>
            </w:pPr>
            <w:r>
              <w:rPr>
                <w:rFonts w:ascii="Arial" w:hAnsi="Arial" w:cs="Arial"/>
                <w:sz w:val="20"/>
                <w:szCs w:val="20"/>
              </w:rPr>
              <w:t>*Mean ± S.D.</w:t>
            </w:r>
          </w:p>
        </w:tc>
        <w:tc>
          <w:tcPr>
            <w:tcW w:w="1967" w:type="dxa"/>
          </w:tcPr>
          <w:p w:rsidR="00B45E56" w:rsidRDefault="000F5140">
            <w:pPr>
              <w:rPr>
                <w:rFonts w:ascii="Arial" w:hAnsi="Arial" w:cs="Arial"/>
                <w:sz w:val="20"/>
                <w:szCs w:val="20"/>
              </w:rPr>
            </w:pPr>
            <w:r>
              <w:rPr>
                <w:rFonts w:ascii="Arial" w:hAnsi="Arial" w:cs="Arial"/>
                <w:sz w:val="20"/>
                <w:szCs w:val="20"/>
              </w:rPr>
              <w:t>Photosensitizer</w:t>
            </w:r>
          </w:p>
          <w:p w:rsidR="00B45E56" w:rsidRDefault="000F5140">
            <w:pPr>
              <w:rPr>
                <w:rFonts w:ascii="Arial" w:hAnsi="Arial" w:cs="Arial"/>
                <w:sz w:val="20"/>
                <w:szCs w:val="20"/>
              </w:rPr>
            </w:pPr>
            <w:r>
              <w:rPr>
                <w:rFonts w:ascii="Arial" w:hAnsi="Arial" w:cs="Arial"/>
                <w:sz w:val="20"/>
                <w:szCs w:val="20"/>
              </w:rPr>
              <w:t>Hematoporphyrin IX</w:t>
            </w:r>
          </w:p>
          <w:p w:rsidR="00B45E56" w:rsidRDefault="000F5140">
            <w:pPr>
              <w:rPr>
                <w:rFonts w:ascii="Arial" w:hAnsi="Arial" w:cs="Arial"/>
                <w:sz w:val="20"/>
                <w:szCs w:val="20"/>
              </w:rPr>
            </w:pPr>
            <w:r>
              <w:rPr>
                <w:rFonts w:ascii="Arial" w:hAnsi="Arial" w:cs="Arial"/>
                <w:sz w:val="20"/>
                <w:szCs w:val="20"/>
              </w:rPr>
              <w:t>Mean ± S.D.</w:t>
            </w:r>
          </w:p>
        </w:tc>
        <w:tc>
          <w:tcPr>
            <w:tcW w:w="1965" w:type="dxa"/>
          </w:tcPr>
          <w:p w:rsidR="00B45E56" w:rsidRDefault="000F5140">
            <w:pPr>
              <w:rPr>
                <w:rFonts w:ascii="Arial" w:hAnsi="Arial" w:cs="Arial"/>
                <w:sz w:val="20"/>
                <w:szCs w:val="20"/>
              </w:rPr>
            </w:pPr>
            <w:r>
              <w:rPr>
                <w:rFonts w:ascii="Arial" w:hAnsi="Arial" w:cs="Arial"/>
                <w:sz w:val="20"/>
                <w:szCs w:val="20"/>
              </w:rPr>
              <w:t xml:space="preserve">Photosensitizer </w:t>
            </w:r>
          </w:p>
          <w:p w:rsidR="00B45E56" w:rsidRDefault="000F5140">
            <w:pPr>
              <w:rPr>
                <w:rFonts w:ascii="Arial" w:hAnsi="Arial" w:cs="Arial"/>
                <w:sz w:val="20"/>
                <w:szCs w:val="20"/>
              </w:rPr>
            </w:pPr>
            <w:r>
              <w:rPr>
                <w:rFonts w:ascii="Arial" w:hAnsi="Arial" w:cs="Arial"/>
                <w:sz w:val="20"/>
                <w:szCs w:val="20"/>
              </w:rPr>
              <w:t>B-Phenylpyruvic acid</w:t>
            </w:r>
          </w:p>
          <w:p w:rsidR="00B45E56" w:rsidRDefault="000F5140">
            <w:pPr>
              <w:rPr>
                <w:rFonts w:ascii="Arial" w:hAnsi="Arial" w:cs="Arial"/>
                <w:sz w:val="20"/>
                <w:szCs w:val="20"/>
              </w:rPr>
            </w:pPr>
            <w:r>
              <w:rPr>
                <w:rFonts w:ascii="Arial" w:hAnsi="Arial" w:cs="Arial"/>
                <w:sz w:val="20"/>
                <w:szCs w:val="20"/>
              </w:rPr>
              <w:t>Mean ± S.D.</w:t>
            </w:r>
          </w:p>
        </w:tc>
      </w:tr>
      <w:tr w:rsidR="00B45E56">
        <w:tc>
          <w:tcPr>
            <w:tcW w:w="1808" w:type="dxa"/>
          </w:tcPr>
          <w:p w:rsidR="00B45E56" w:rsidRDefault="000F5140">
            <w:pPr>
              <w:rPr>
                <w:rFonts w:ascii="Arial" w:hAnsi="Arial" w:cs="Arial"/>
                <w:sz w:val="20"/>
                <w:szCs w:val="20"/>
              </w:rPr>
            </w:pPr>
            <w:r>
              <w:rPr>
                <w:rFonts w:ascii="Arial" w:hAnsi="Arial" w:cs="Arial"/>
                <w:sz w:val="20"/>
                <w:szCs w:val="20"/>
              </w:rPr>
              <w:t>5</w:t>
            </w:r>
          </w:p>
        </w:tc>
        <w:tc>
          <w:tcPr>
            <w:tcW w:w="1720" w:type="dxa"/>
          </w:tcPr>
          <w:p w:rsidR="00B45E56" w:rsidRDefault="000F5140">
            <w:pPr>
              <w:rPr>
                <w:rFonts w:ascii="Arial" w:hAnsi="Arial" w:cs="Arial"/>
                <w:sz w:val="20"/>
                <w:szCs w:val="20"/>
              </w:rPr>
            </w:pPr>
            <w:r>
              <w:rPr>
                <w:rFonts w:ascii="Arial" w:hAnsi="Arial" w:cs="Arial"/>
                <w:sz w:val="20"/>
                <w:szCs w:val="20"/>
              </w:rPr>
              <w:t>55.3</w:t>
            </w:r>
            <w:r>
              <w:rPr>
                <w:rFonts w:ascii="Arial" w:hAnsi="Arial" w:cs="Arial"/>
                <w:sz w:val="20"/>
                <w:szCs w:val="20"/>
              </w:rPr>
              <w:sym w:font="Symbol" w:char="F0B1"/>
            </w:r>
            <w:r>
              <w:rPr>
                <w:rFonts w:ascii="Arial" w:hAnsi="Arial" w:cs="Arial"/>
                <w:sz w:val="20"/>
                <w:szCs w:val="20"/>
              </w:rPr>
              <w:t xml:space="preserve"> 1.3 7</w:t>
            </w:r>
          </w:p>
        </w:tc>
        <w:tc>
          <w:tcPr>
            <w:tcW w:w="1967" w:type="dxa"/>
          </w:tcPr>
          <w:p w:rsidR="00B45E56" w:rsidRDefault="000F5140">
            <w:pPr>
              <w:rPr>
                <w:rFonts w:ascii="Arial" w:hAnsi="Arial" w:cs="Arial"/>
                <w:sz w:val="20"/>
                <w:szCs w:val="20"/>
              </w:rPr>
            </w:pPr>
            <w:r>
              <w:rPr>
                <w:rFonts w:ascii="Arial" w:hAnsi="Arial" w:cs="Arial"/>
                <w:sz w:val="20"/>
                <w:szCs w:val="20"/>
              </w:rPr>
              <w:t xml:space="preserve">0.4 </w:t>
            </w:r>
            <w:r>
              <w:rPr>
                <w:rFonts w:ascii="Arial" w:hAnsi="Arial" w:cs="Arial"/>
                <w:sz w:val="20"/>
                <w:szCs w:val="20"/>
              </w:rPr>
              <w:sym w:font="Symbol" w:char="F0B1"/>
            </w:r>
            <w:r>
              <w:rPr>
                <w:rFonts w:ascii="Arial" w:hAnsi="Arial" w:cs="Arial"/>
                <w:sz w:val="20"/>
                <w:szCs w:val="20"/>
              </w:rPr>
              <w:t xml:space="preserve"> 0.55</w:t>
            </w:r>
          </w:p>
        </w:tc>
        <w:tc>
          <w:tcPr>
            <w:tcW w:w="1965" w:type="dxa"/>
          </w:tcPr>
          <w:p w:rsidR="00B45E56" w:rsidRDefault="000F5140">
            <w:pPr>
              <w:rPr>
                <w:rFonts w:ascii="Arial" w:hAnsi="Arial" w:cs="Arial"/>
                <w:sz w:val="20"/>
                <w:szCs w:val="20"/>
              </w:rPr>
            </w:pPr>
            <w:r>
              <w:rPr>
                <w:rFonts w:ascii="Arial" w:hAnsi="Arial" w:cs="Arial"/>
                <w:sz w:val="20"/>
                <w:szCs w:val="20"/>
              </w:rPr>
              <w:t xml:space="preserve">0.7 </w:t>
            </w:r>
            <w:r>
              <w:rPr>
                <w:rFonts w:ascii="Arial" w:hAnsi="Arial" w:cs="Arial"/>
                <w:sz w:val="20"/>
                <w:szCs w:val="20"/>
              </w:rPr>
              <w:sym w:font="Symbol" w:char="F0B1"/>
            </w:r>
            <w:r>
              <w:rPr>
                <w:rFonts w:ascii="Arial" w:hAnsi="Arial" w:cs="Arial"/>
                <w:sz w:val="20"/>
                <w:szCs w:val="20"/>
              </w:rPr>
              <w:t xml:space="preserve"> 0.43</w:t>
            </w:r>
          </w:p>
        </w:tc>
      </w:tr>
      <w:tr w:rsidR="00B45E56">
        <w:tc>
          <w:tcPr>
            <w:tcW w:w="1808" w:type="dxa"/>
          </w:tcPr>
          <w:p w:rsidR="00B45E56" w:rsidRDefault="000F5140">
            <w:pPr>
              <w:rPr>
                <w:rFonts w:ascii="Arial" w:hAnsi="Arial" w:cs="Arial"/>
                <w:sz w:val="20"/>
                <w:szCs w:val="20"/>
              </w:rPr>
            </w:pPr>
            <w:r>
              <w:rPr>
                <w:rFonts w:ascii="Arial" w:hAnsi="Arial" w:cs="Arial"/>
                <w:sz w:val="20"/>
                <w:szCs w:val="20"/>
              </w:rPr>
              <w:t>2.5</w:t>
            </w:r>
          </w:p>
        </w:tc>
        <w:tc>
          <w:tcPr>
            <w:tcW w:w="1720" w:type="dxa"/>
          </w:tcPr>
          <w:p w:rsidR="00B45E56" w:rsidRDefault="000F5140">
            <w:pPr>
              <w:rPr>
                <w:rFonts w:ascii="Arial" w:hAnsi="Arial" w:cs="Arial"/>
                <w:sz w:val="20"/>
                <w:szCs w:val="20"/>
              </w:rPr>
            </w:pPr>
            <w:r>
              <w:rPr>
                <w:rFonts w:ascii="Arial" w:hAnsi="Arial" w:cs="Arial"/>
                <w:sz w:val="20"/>
                <w:szCs w:val="20"/>
              </w:rPr>
              <w:t xml:space="preserve">64.87 </w:t>
            </w:r>
            <w:r>
              <w:rPr>
                <w:rFonts w:ascii="Arial" w:hAnsi="Arial" w:cs="Arial"/>
                <w:sz w:val="20"/>
                <w:szCs w:val="20"/>
              </w:rPr>
              <w:sym w:font="Symbol" w:char="F0B1"/>
            </w:r>
            <w:r>
              <w:rPr>
                <w:rFonts w:ascii="Arial" w:hAnsi="Arial" w:cs="Arial"/>
                <w:sz w:val="20"/>
                <w:szCs w:val="20"/>
              </w:rPr>
              <w:t xml:space="preserve"> 1.31</w:t>
            </w:r>
          </w:p>
        </w:tc>
        <w:tc>
          <w:tcPr>
            <w:tcW w:w="1967" w:type="dxa"/>
          </w:tcPr>
          <w:p w:rsidR="00B45E56" w:rsidRDefault="000F5140">
            <w:pPr>
              <w:rPr>
                <w:rFonts w:ascii="Arial" w:hAnsi="Arial" w:cs="Arial"/>
                <w:sz w:val="20"/>
                <w:szCs w:val="20"/>
              </w:rPr>
            </w:pPr>
            <w:r>
              <w:rPr>
                <w:rFonts w:ascii="Arial" w:hAnsi="Arial" w:cs="Arial"/>
                <w:sz w:val="20"/>
                <w:szCs w:val="20"/>
              </w:rPr>
              <w:t xml:space="preserve">0.8 </w:t>
            </w:r>
            <w:r>
              <w:rPr>
                <w:rFonts w:ascii="Arial" w:hAnsi="Arial" w:cs="Arial"/>
                <w:sz w:val="20"/>
                <w:szCs w:val="20"/>
              </w:rPr>
              <w:sym w:font="Symbol" w:char="F0B1"/>
            </w:r>
            <w:r>
              <w:rPr>
                <w:rFonts w:ascii="Arial" w:hAnsi="Arial" w:cs="Arial"/>
                <w:sz w:val="20"/>
                <w:szCs w:val="20"/>
              </w:rPr>
              <w:t xml:space="preserve"> 0.97</w:t>
            </w:r>
          </w:p>
        </w:tc>
        <w:tc>
          <w:tcPr>
            <w:tcW w:w="1965" w:type="dxa"/>
          </w:tcPr>
          <w:p w:rsidR="00B45E56" w:rsidRDefault="000F5140">
            <w:pPr>
              <w:rPr>
                <w:rFonts w:ascii="Arial" w:hAnsi="Arial" w:cs="Arial"/>
                <w:sz w:val="20"/>
                <w:szCs w:val="20"/>
              </w:rPr>
            </w:pPr>
            <w:r>
              <w:rPr>
                <w:rFonts w:ascii="Arial" w:hAnsi="Arial" w:cs="Arial"/>
                <w:sz w:val="20"/>
                <w:szCs w:val="20"/>
              </w:rPr>
              <w:t xml:space="preserve">1.5 </w:t>
            </w:r>
            <w:r>
              <w:rPr>
                <w:rFonts w:ascii="Arial" w:hAnsi="Arial" w:cs="Arial"/>
                <w:sz w:val="20"/>
                <w:szCs w:val="20"/>
              </w:rPr>
              <w:sym w:font="Symbol" w:char="F0B1"/>
            </w:r>
            <w:r>
              <w:rPr>
                <w:rFonts w:ascii="Arial" w:hAnsi="Arial" w:cs="Arial"/>
                <w:sz w:val="20"/>
                <w:szCs w:val="20"/>
              </w:rPr>
              <w:t xml:space="preserve"> 0.67</w:t>
            </w:r>
          </w:p>
        </w:tc>
      </w:tr>
      <w:tr w:rsidR="00B45E56">
        <w:tc>
          <w:tcPr>
            <w:tcW w:w="1808" w:type="dxa"/>
          </w:tcPr>
          <w:p w:rsidR="00B45E56" w:rsidRDefault="000F5140">
            <w:pPr>
              <w:rPr>
                <w:rFonts w:ascii="Arial" w:hAnsi="Arial" w:cs="Arial"/>
                <w:sz w:val="20"/>
                <w:szCs w:val="20"/>
              </w:rPr>
            </w:pPr>
            <w:r>
              <w:rPr>
                <w:rFonts w:ascii="Arial" w:hAnsi="Arial" w:cs="Arial"/>
                <w:sz w:val="20"/>
                <w:szCs w:val="20"/>
              </w:rPr>
              <w:t>1</w:t>
            </w:r>
          </w:p>
        </w:tc>
        <w:tc>
          <w:tcPr>
            <w:tcW w:w="1720" w:type="dxa"/>
          </w:tcPr>
          <w:p w:rsidR="00B45E56" w:rsidRDefault="000F5140">
            <w:pPr>
              <w:rPr>
                <w:rFonts w:ascii="Arial" w:hAnsi="Arial" w:cs="Arial"/>
                <w:sz w:val="20"/>
                <w:szCs w:val="20"/>
              </w:rPr>
            </w:pPr>
            <w:r>
              <w:rPr>
                <w:rFonts w:ascii="Arial" w:hAnsi="Arial" w:cs="Arial"/>
                <w:sz w:val="20"/>
                <w:szCs w:val="20"/>
              </w:rPr>
              <w:t xml:space="preserve">88.33 </w:t>
            </w:r>
            <w:r>
              <w:rPr>
                <w:rFonts w:ascii="Arial" w:hAnsi="Arial" w:cs="Arial"/>
                <w:sz w:val="20"/>
                <w:szCs w:val="20"/>
              </w:rPr>
              <w:sym w:font="Symbol" w:char="F0B1"/>
            </w:r>
            <w:r>
              <w:rPr>
                <w:rFonts w:ascii="Arial" w:hAnsi="Arial" w:cs="Arial"/>
                <w:sz w:val="20"/>
                <w:szCs w:val="20"/>
              </w:rPr>
              <w:t xml:space="preserve"> 2.70</w:t>
            </w:r>
          </w:p>
        </w:tc>
        <w:tc>
          <w:tcPr>
            <w:tcW w:w="1967" w:type="dxa"/>
          </w:tcPr>
          <w:p w:rsidR="00B45E56" w:rsidRDefault="000F5140">
            <w:pPr>
              <w:rPr>
                <w:rFonts w:ascii="Arial" w:hAnsi="Arial" w:cs="Arial"/>
                <w:sz w:val="20"/>
                <w:szCs w:val="20"/>
              </w:rPr>
            </w:pPr>
            <w:r>
              <w:rPr>
                <w:rFonts w:ascii="Arial" w:hAnsi="Arial" w:cs="Arial"/>
                <w:sz w:val="20"/>
                <w:szCs w:val="20"/>
              </w:rPr>
              <w:t xml:space="preserve">15.99 </w:t>
            </w:r>
            <w:r>
              <w:rPr>
                <w:rFonts w:ascii="Arial" w:hAnsi="Arial" w:cs="Arial"/>
                <w:sz w:val="20"/>
                <w:szCs w:val="20"/>
              </w:rPr>
              <w:sym w:font="Symbol" w:char="F0B1"/>
            </w:r>
            <w:r>
              <w:rPr>
                <w:rFonts w:ascii="Arial" w:hAnsi="Arial" w:cs="Arial"/>
                <w:sz w:val="20"/>
                <w:szCs w:val="20"/>
              </w:rPr>
              <w:t xml:space="preserve"> 2.66</w:t>
            </w:r>
          </w:p>
        </w:tc>
        <w:tc>
          <w:tcPr>
            <w:tcW w:w="1965" w:type="dxa"/>
          </w:tcPr>
          <w:p w:rsidR="00B45E56" w:rsidRDefault="000F5140">
            <w:pPr>
              <w:rPr>
                <w:rFonts w:ascii="Arial" w:hAnsi="Arial" w:cs="Arial"/>
                <w:sz w:val="20"/>
                <w:szCs w:val="20"/>
              </w:rPr>
            </w:pPr>
            <w:r>
              <w:rPr>
                <w:rFonts w:ascii="Arial" w:hAnsi="Arial" w:cs="Arial"/>
                <w:sz w:val="20"/>
                <w:szCs w:val="20"/>
              </w:rPr>
              <w:t>20.87</w:t>
            </w:r>
            <w:r>
              <w:rPr>
                <w:rFonts w:ascii="Arial" w:hAnsi="Arial" w:cs="Arial"/>
                <w:sz w:val="20"/>
                <w:szCs w:val="20"/>
              </w:rPr>
              <w:sym w:font="Symbol" w:char="F0B1"/>
            </w:r>
            <w:r>
              <w:rPr>
                <w:rFonts w:ascii="Arial" w:hAnsi="Arial" w:cs="Arial"/>
                <w:sz w:val="20"/>
                <w:szCs w:val="20"/>
              </w:rPr>
              <w:t xml:space="preserve"> 2.43</w:t>
            </w:r>
          </w:p>
        </w:tc>
      </w:tr>
      <w:tr w:rsidR="00B45E56">
        <w:tc>
          <w:tcPr>
            <w:tcW w:w="1808" w:type="dxa"/>
          </w:tcPr>
          <w:p w:rsidR="00B45E56" w:rsidRDefault="000F5140">
            <w:pPr>
              <w:rPr>
                <w:rFonts w:ascii="Arial" w:hAnsi="Arial" w:cs="Arial"/>
                <w:sz w:val="20"/>
                <w:szCs w:val="20"/>
              </w:rPr>
            </w:pPr>
            <w:r>
              <w:rPr>
                <w:rFonts w:ascii="Arial" w:hAnsi="Arial" w:cs="Arial"/>
                <w:sz w:val="20"/>
                <w:szCs w:val="20"/>
              </w:rPr>
              <w:t>0.25</w:t>
            </w:r>
          </w:p>
        </w:tc>
        <w:tc>
          <w:tcPr>
            <w:tcW w:w="1720" w:type="dxa"/>
          </w:tcPr>
          <w:p w:rsidR="00B45E56" w:rsidRDefault="000F5140">
            <w:pPr>
              <w:rPr>
                <w:rFonts w:ascii="Arial" w:hAnsi="Arial" w:cs="Arial"/>
                <w:sz w:val="20"/>
                <w:szCs w:val="20"/>
              </w:rPr>
            </w:pPr>
            <w:r>
              <w:rPr>
                <w:rFonts w:ascii="Arial" w:hAnsi="Arial" w:cs="Arial"/>
                <w:sz w:val="20"/>
                <w:szCs w:val="20"/>
              </w:rPr>
              <w:t xml:space="preserve">92.65 </w:t>
            </w:r>
            <w:r>
              <w:rPr>
                <w:rFonts w:ascii="Arial" w:hAnsi="Arial" w:cs="Arial"/>
                <w:sz w:val="20"/>
                <w:szCs w:val="20"/>
              </w:rPr>
              <w:sym w:font="Symbol" w:char="F0B1"/>
            </w:r>
            <w:r>
              <w:rPr>
                <w:rFonts w:ascii="Arial" w:hAnsi="Arial" w:cs="Arial"/>
                <w:sz w:val="20"/>
                <w:szCs w:val="20"/>
              </w:rPr>
              <w:t>2.88</w:t>
            </w:r>
          </w:p>
        </w:tc>
        <w:tc>
          <w:tcPr>
            <w:tcW w:w="1967" w:type="dxa"/>
          </w:tcPr>
          <w:p w:rsidR="00B45E56" w:rsidRDefault="000F5140">
            <w:pPr>
              <w:rPr>
                <w:rFonts w:ascii="Arial" w:hAnsi="Arial" w:cs="Arial"/>
                <w:sz w:val="20"/>
                <w:szCs w:val="20"/>
              </w:rPr>
            </w:pPr>
            <w:r>
              <w:rPr>
                <w:rFonts w:ascii="Arial" w:hAnsi="Arial" w:cs="Arial"/>
                <w:sz w:val="20"/>
                <w:szCs w:val="20"/>
              </w:rPr>
              <w:t xml:space="preserve">57.67 </w:t>
            </w:r>
            <w:r>
              <w:rPr>
                <w:rFonts w:ascii="Arial" w:hAnsi="Arial" w:cs="Arial"/>
                <w:sz w:val="20"/>
                <w:szCs w:val="20"/>
              </w:rPr>
              <w:sym w:font="Symbol" w:char="F0B1"/>
            </w:r>
            <w:r>
              <w:rPr>
                <w:rFonts w:ascii="Arial" w:hAnsi="Arial" w:cs="Arial"/>
                <w:sz w:val="20"/>
                <w:szCs w:val="20"/>
              </w:rPr>
              <w:t xml:space="preserve"> 2.33</w:t>
            </w:r>
          </w:p>
        </w:tc>
        <w:tc>
          <w:tcPr>
            <w:tcW w:w="1965" w:type="dxa"/>
          </w:tcPr>
          <w:p w:rsidR="00B45E56" w:rsidRDefault="000F5140">
            <w:pPr>
              <w:rPr>
                <w:rFonts w:ascii="Arial" w:hAnsi="Arial" w:cs="Arial"/>
                <w:sz w:val="20"/>
                <w:szCs w:val="20"/>
              </w:rPr>
            </w:pPr>
            <w:r>
              <w:rPr>
                <w:rFonts w:ascii="Arial" w:hAnsi="Arial" w:cs="Arial"/>
                <w:sz w:val="20"/>
                <w:szCs w:val="20"/>
              </w:rPr>
              <w:t xml:space="preserve">68.43 </w:t>
            </w:r>
            <w:r>
              <w:rPr>
                <w:rFonts w:ascii="Arial" w:hAnsi="Arial" w:cs="Arial"/>
                <w:sz w:val="20"/>
                <w:szCs w:val="20"/>
              </w:rPr>
              <w:sym w:font="Symbol" w:char="F0B1"/>
            </w:r>
            <w:r>
              <w:rPr>
                <w:rFonts w:ascii="Arial" w:hAnsi="Arial" w:cs="Arial"/>
                <w:sz w:val="20"/>
                <w:szCs w:val="20"/>
              </w:rPr>
              <w:t>3.98</w:t>
            </w:r>
          </w:p>
        </w:tc>
      </w:tr>
      <w:tr w:rsidR="00B45E56">
        <w:tc>
          <w:tcPr>
            <w:tcW w:w="1808" w:type="dxa"/>
          </w:tcPr>
          <w:p w:rsidR="00B45E56" w:rsidRDefault="000F5140">
            <w:pPr>
              <w:rPr>
                <w:rFonts w:ascii="Arial" w:hAnsi="Arial" w:cs="Arial"/>
                <w:sz w:val="20"/>
                <w:szCs w:val="20"/>
              </w:rPr>
            </w:pPr>
            <w:r>
              <w:rPr>
                <w:rFonts w:ascii="Arial" w:hAnsi="Arial" w:cs="Arial"/>
                <w:sz w:val="20"/>
                <w:szCs w:val="20"/>
              </w:rPr>
              <w:t>0.1</w:t>
            </w:r>
          </w:p>
        </w:tc>
        <w:tc>
          <w:tcPr>
            <w:tcW w:w="1720" w:type="dxa"/>
          </w:tcPr>
          <w:p w:rsidR="00B45E56" w:rsidRDefault="000F5140">
            <w:pPr>
              <w:rPr>
                <w:rFonts w:ascii="Arial" w:hAnsi="Arial" w:cs="Arial"/>
                <w:sz w:val="20"/>
                <w:szCs w:val="20"/>
              </w:rPr>
            </w:pPr>
            <w:r>
              <w:rPr>
                <w:rFonts w:ascii="Arial" w:hAnsi="Arial" w:cs="Arial"/>
                <w:sz w:val="20"/>
                <w:szCs w:val="20"/>
              </w:rPr>
              <w:t xml:space="preserve">98.74 </w:t>
            </w:r>
            <w:r>
              <w:rPr>
                <w:rFonts w:ascii="Arial" w:hAnsi="Arial" w:cs="Arial"/>
                <w:sz w:val="20"/>
                <w:szCs w:val="20"/>
              </w:rPr>
              <w:sym w:font="Symbol" w:char="F0B1"/>
            </w:r>
            <w:r>
              <w:rPr>
                <w:rFonts w:ascii="Arial" w:hAnsi="Arial" w:cs="Arial"/>
                <w:sz w:val="20"/>
                <w:szCs w:val="20"/>
              </w:rPr>
              <w:t xml:space="preserve"> 0.57</w:t>
            </w:r>
          </w:p>
        </w:tc>
        <w:tc>
          <w:tcPr>
            <w:tcW w:w="1967" w:type="dxa"/>
          </w:tcPr>
          <w:p w:rsidR="00B45E56" w:rsidRDefault="000F5140">
            <w:pPr>
              <w:rPr>
                <w:rFonts w:ascii="Arial" w:hAnsi="Arial" w:cs="Arial"/>
                <w:sz w:val="20"/>
                <w:szCs w:val="20"/>
              </w:rPr>
            </w:pPr>
            <w:r>
              <w:rPr>
                <w:rFonts w:ascii="Arial" w:hAnsi="Arial" w:cs="Arial"/>
                <w:sz w:val="20"/>
                <w:szCs w:val="20"/>
              </w:rPr>
              <w:t xml:space="preserve">80.47 </w:t>
            </w:r>
            <w:r>
              <w:rPr>
                <w:rFonts w:ascii="Arial" w:hAnsi="Arial" w:cs="Arial"/>
                <w:sz w:val="20"/>
                <w:szCs w:val="20"/>
              </w:rPr>
              <w:sym w:font="Symbol" w:char="F0B1"/>
            </w:r>
            <w:r>
              <w:rPr>
                <w:rFonts w:ascii="Arial" w:hAnsi="Arial" w:cs="Arial"/>
                <w:sz w:val="20"/>
                <w:szCs w:val="20"/>
              </w:rPr>
              <w:t xml:space="preserve"> 1.67</w:t>
            </w:r>
          </w:p>
        </w:tc>
        <w:tc>
          <w:tcPr>
            <w:tcW w:w="1965" w:type="dxa"/>
          </w:tcPr>
          <w:p w:rsidR="00B45E56" w:rsidRDefault="000F5140">
            <w:pPr>
              <w:rPr>
                <w:rFonts w:ascii="Arial" w:hAnsi="Arial" w:cs="Arial"/>
                <w:sz w:val="20"/>
                <w:szCs w:val="20"/>
              </w:rPr>
            </w:pPr>
            <w:r>
              <w:rPr>
                <w:rFonts w:ascii="Arial" w:hAnsi="Arial" w:cs="Arial"/>
                <w:sz w:val="20"/>
                <w:szCs w:val="20"/>
              </w:rPr>
              <w:t xml:space="preserve">84.65 </w:t>
            </w:r>
            <w:r>
              <w:rPr>
                <w:rFonts w:ascii="Arial" w:hAnsi="Arial" w:cs="Arial"/>
                <w:sz w:val="20"/>
                <w:szCs w:val="20"/>
              </w:rPr>
              <w:sym w:font="Symbol" w:char="F0B1"/>
            </w:r>
            <w:r>
              <w:rPr>
                <w:rFonts w:ascii="Arial" w:hAnsi="Arial" w:cs="Arial"/>
                <w:sz w:val="20"/>
                <w:szCs w:val="20"/>
              </w:rPr>
              <w:t>1.75</w:t>
            </w:r>
          </w:p>
        </w:tc>
      </w:tr>
      <w:tr w:rsidR="00B45E56">
        <w:tc>
          <w:tcPr>
            <w:tcW w:w="1808" w:type="dxa"/>
          </w:tcPr>
          <w:p w:rsidR="00B45E56" w:rsidRDefault="000F5140">
            <w:pPr>
              <w:rPr>
                <w:rFonts w:ascii="Arial" w:hAnsi="Arial" w:cs="Arial"/>
                <w:sz w:val="20"/>
                <w:szCs w:val="20"/>
              </w:rPr>
            </w:pPr>
            <w:r>
              <w:rPr>
                <w:rFonts w:ascii="Arial" w:hAnsi="Arial" w:cs="Arial"/>
                <w:sz w:val="20"/>
                <w:szCs w:val="20"/>
              </w:rPr>
              <w:t>0.01</w:t>
            </w:r>
          </w:p>
        </w:tc>
        <w:tc>
          <w:tcPr>
            <w:tcW w:w="1720" w:type="dxa"/>
          </w:tcPr>
          <w:p w:rsidR="00B45E56" w:rsidRDefault="000F5140">
            <w:pPr>
              <w:rPr>
                <w:rFonts w:ascii="Arial" w:hAnsi="Arial" w:cs="Arial"/>
                <w:sz w:val="20"/>
                <w:szCs w:val="20"/>
              </w:rPr>
            </w:pPr>
            <w:r>
              <w:rPr>
                <w:rFonts w:ascii="Arial" w:hAnsi="Arial" w:cs="Arial"/>
                <w:sz w:val="20"/>
                <w:szCs w:val="20"/>
              </w:rPr>
              <w:t xml:space="preserve">99.3 </w:t>
            </w:r>
            <w:r>
              <w:rPr>
                <w:rFonts w:ascii="Arial" w:hAnsi="Arial" w:cs="Arial"/>
                <w:sz w:val="20"/>
                <w:szCs w:val="20"/>
              </w:rPr>
              <w:sym w:font="Symbol" w:char="F0B1"/>
            </w:r>
            <w:r>
              <w:rPr>
                <w:rFonts w:ascii="Arial" w:hAnsi="Arial" w:cs="Arial"/>
                <w:sz w:val="20"/>
                <w:szCs w:val="20"/>
              </w:rPr>
              <w:t xml:space="preserve"> 0.7</w:t>
            </w:r>
          </w:p>
        </w:tc>
        <w:tc>
          <w:tcPr>
            <w:tcW w:w="1967" w:type="dxa"/>
          </w:tcPr>
          <w:p w:rsidR="00B45E56" w:rsidRDefault="000F5140">
            <w:pPr>
              <w:rPr>
                <w:rFonts w:ascii="Arial" w:hAnsi="Arial" w:cs="Arial"/>
                <w:sz w:val="20"/>
                <w:szCs w:val="20"/>
              </w:rPr>
            </w:pPr>
            <w:r>
              <w:rPr>
                <w:rFonts w:ascii="Arial" w:hAnsi="Arial" w:cs="Arial"/>
                <w:sz w:val="20"/>
                <w:szCs w:val="20"/>
              </w:rPr>
              <w:t xml:space="preserve">90.11 </w:t>
            </w:r>
            <w:r>
              <w:rPr>
                <w:rFonts w:ascii="Arial" w:hAnsi="Arial" w:cs="Arial"/>
                <w:sz w:val="20"/>
                <w:szCs w:val="20"/>
              </w:rPr>
              <w:sym w:font="Symbol" w:char="F0B1"/>
            </w:r>
            <w:r>
              <w:rPr>
                <w:rFonts w:ascii="Arial" w:hAnsi="Arial" w:cs="Arial"/>
                <w:sz w:val="20"/>
                <w:szCs w:val="20"/>
              </w:rPr>
              <w:t xml:space="preserve"> 1.47</w:t>
            </w:r>
          </w:p>
        </w:tc>
        <w:tc>
          <w:tcPr>
            <w:tcW w:w="1965" w:type="dxa"/>
          </w:tcPr>
          <w:p w:rsidR="00B45E56" w:rsidRDefault="000F5140">
            <w:pPr>
              <w:rPr>
                <w:rFonts w:ascii="Arial" w:hAnsi="Arial" w:cs="Arial"/>
                <w:sz w:val="20"/>
                <w:szCs w:val="20"/>
              </w:rPr>
            </w:pPr>
            <w:r>
              <w:rPr>
                <w:rFonts w:ascii="Arial" w:hAnsi="Arial" w:cs="Arial"/>
                <w:sz w:val="20"/>
                <w:szCs w:val="20"/>
              </w:rPr>
              <w:t xml:space="preserve">91.86 </w:t>
            </w:r>
            <w:r>
              <w:rPr>
                <w:rFonts w:ascii="Arial" w:hAnsi="Arial" w:cs="Arial"/>
                <w:sz w:val="20"/>
                <w:szCs w:val="20"/>
              </w:rPr>
              <w:sym w:font="Symbol" w:char="F0B1"/>
            </w:r>
            <w:r>
              <w:rPr>
                <w:rFonts w:ascii="Arial" w:hAnsi="Arial" w:cs="Arial"/>
                <w:sz w:val="20"/>
                <w:szCs w:val="20"/>
              </w:rPr>
              <w:t xml:space="preserve"> 1.67</w:t>
            </w:r>
          </w:p>
        </w:tc>
      </w:tr>
      <w:tr w:rsidR="00B45E56">
        <w:tc>
          <w:tcPr>
            <w:tcW w:w="1808" w:type="dxa"/>
          </w:tcPr>
          <w:p w:rsidR="00B45E56" w:rsidRDefault="000F5140">
            <w:pPr>
              <w:rPr>
                <w:rFonts w:ascii="Arial" w:hAnsi="Arial" w:cs="Arial"/>
                <w:sz w:val="20"/>
                <w:szCs w:val="20"/>
              </w:rPr>
            </w:pPr>
            <w:r>
              <w:rPr>
                <w:rFonts w:ascii="Arial" w:hAnsi="Arial" w:cs="Arial"/>
                <w:sz w:val="20"/>
                <w:szCs w:val="20"/>
              </w:rPr>
              <w:t>0.001</w:t>
            </w:r>
          </w:p>
        </w:tc>
        <w:tc>
          <w:tcPr>
            <w:tcW w:w="1720" w:type="dxa"/>
          </w:tcPr>
          <w:p w:rsidR="00B45E56" w:rsidRDefault="000F5140">
            <w:pPr>
              <w:rPr>
                <w:rFonts w:ascii="Arial" w:hAnsi="Arial" w:cs="Arial"/>
                <w:sz w:val="20"/>
                <w:szCs w:val="20"/>
              </w:rPr>
            </w:pPr>
            <w:r>
              <w:rPr>
                <w:rFonts w:ascii="Arial" w:hAnsi="Arial" w:cs="Arial"/>
                <w:sz w:val="20"/>
                <w:szCs w:val="20"/>
              </w:rPr>
              <w:t>100</w:t>
            </w:r>
          </w:p>
        </w:tc>
        <w:tc>
          <w:tcPr>
            <w:tcW w:w="1967" w:type="dxa"/>
          </w:tcPr>
          <w:p w:rsidR="00B45E56" w:rsidRDefault="000F5140">
            <w:pPr>
              <w:rPr>
                <w:rFonts w:ascii="Arial" w:hAnsi="Arial" w:cs="Arial"/>
                <w:sz w:val="20"/>
                <w:szCs w:val="20"/>
              </w:rPr>
            </w:pPr>
            <w:r>
              <w:rPr>
                <w:rFonts w:ascii="Arial" w:hAnsi="Arial" w:cs="Arial"/>
                <w:sz w:val="20"/>
                <w:szCs w:val="20"/>
              </w:rPr>
              <w:t>100</w:t>
            </w:r>
          </w:p>
        </w:tc>
        <w:tc>
          <w:tcPr>
            <w:tcW w:w="1965" w:type="dxa"/>
          </w:tcPr>
          <w:p w:rsidR="00B45E56" w:rsidRDefault="000F5140">
            <w:pPr>
              <w:rPr>
                <w:rFonts w:ascii="Arial" w:hAnsi="Arial" w:cs="Arial"/>
                <w:sz w:val="20"/>
                <w:szCs w:val="20"/>
              </w:rPr>
            </w:pPr>
            <w:r>
              <w:rPr>
                <w:rFonts w:ascii="Arial" w:hAnsi="Arial" w:cs="Arial"/>
                <w:sz w:val="20"/>
                <w:szCs w:val="20"/>
              </w:rPr>
              <w:t>100</w:t>
            </w:r>
          </w:p>
        </w:tc>
      </w:tr>
      <w:tr w:rsidR="00B45E56">
        <w:tc>
          <w:tcPr>
            <w:tcW w:w="1808" w:type="dxa"/>
          </w:tcPr>
          <w:p w:rsidR="00B45E56" w:rsidRDefault="000F5140">
            <w:pPr>
              <w:rPr>
                <w:rFonts w:ascii="Arial" w:hAnsi="Arial" w:cs="Arial"/>
                <w:sz w:val="20"/>
                <w:szCs w:val="20"/>
              </w:rPr>
            </w:pPr>
            <w:r>
              <w:rPr>
                <w:rFonts w:ascii="Arial" w:hAnsi="Arial" w:cs="Arial"/>
                <w:sz w:val="20"/>
                <w:szCs w:val="20"/>
              </w:rPr>
              <w:t>Lc</w:t>
            </w:r>
            <w:r>
              <w:rPr>
                <w:rFonts w:ascii="Arial" w:hAnsi="Arial" w:cs="Arial"/>
                <w:sz w:val="20"/>
                <w:szCs w:val="20"/>
                <w:vertAlign w:val="subscript"/>
              </w:rPr>
              <w:t>50</w:t>
            </w:r>
          </w:p>
        </w:tc>
        <w:tc>
          <w:tcPr>
            <w:tcW w:w="1720" w:type="dxa"/>
          </w:tcPr>
          <w:p w:rsidR="00B45E56" w:rsidRDefault="00B45E56">
            <w:pPr>
              <w:rPr>
                <w:rFonts w:ascii="Arial" w:hAnsi="Arial" w:cs="Arial"/>
                <w:sz w:val="20"/>
                <w:szCs w:val="20"/>
              </w:rPr>
            </w:pPr>
          </w:p>
        </w:tc>
        <w:tc>
          <w:tcPr>
            <w:tcW w:w="1967" w:type="dxa"/>
          </w:tcPr>
          <w:p w:rsidR="00B45E56" w:rsidRDefault="000F5140">
            <w:pPr>
              <w:rPr>
                <w:rFonts w:ascii="Arial" w:hAnsi="Arial" w:cs="Arial"/>
                <w:sz w:val="20"/>
                <w:szCs w:val="20"/>
              </w:rPr>
            </w:pPr>
            <w:r>
              <w:rPr>
                <w:rFonts w:ascii="Arial" w:hAnsi="Arial" w:cs="Arial"/>
                <w:sz w:val="20"/>
                <w:szCs w:val="20"/>
              </w:rPr>
              <w:t>.15 mM/ml</w:t>
            </w:r>
          </w:p>
        </w:tc>
        <w:tc>
          <w:tcPr>
            <w:tcW w:w="1965" w:type="dxa"/>
          </w:tcPr>
          <w:p w:rsidR="00B45E56" w:rsidRDefault="000F5140">
            <w:pPr>
              <w:rPr>
                <w:rFonts w:ascii="Arial" w:hAnsi="Arial" w:cs="Arial"/>
                <w:sz w:val="20"/>
                <w:szCs w:val="20"/>
              </w:rPr>
            </w:pPr>
            <w:r>
              <w:rPr>
                <w:rFonts w:ascii="Arial" w:hAnsi="Arial" w:cs="Arial"/>
                <w:sz w:val="20"/>
                <w:szCs w:val="20"/>
              </w:rPr>
              <w:t>.35 mM/ml</w:t>
            </w:r>
          </w:p>
        </w:tc>
      </w:tr>
    </w:tbl>
    <w:p w:rsidR="00B45E56" w:rsidRDefault="00B45E56">
      <w:pPr>
        <w:rPr>
          <w:rFonts w:ascii="Arial" w:hAnsi="Arial" w:cs="Arial"/>
          <w:sz w:val="20"/>
          <w:szCs w:val="20"/>
        </w:rPr>
      </w:pPr>
    </w:p>
    <w:p w:rsidR="00B45E56" w:rsidRDefault="000F5140">
      <w:pPr>
        <w:ind w:left="360"/>
        <w:rPr>
          <w:rFonts w:ascii="Arial" w:hAnsi="Arial" w:cs="Arial"/>
          <w:sz w:val="20"/>
          <w:szCs w:val="20"/>
        </w:rPr>
      </w:pPr>
      <w:r>
        <w:rPr>
          <w:rFonts w:ascii="Arial" w:hAnsi="Arial" w:cs="Arial"/>
          <w:sz w:val="20"/>
          <w:szCs w:val="20"/>
        </w:rPr>
        <w:t>* The mean is the average of cells survivability of 16 well.</w:t>
      </w:r>
    </w:p>
    <w:p w:rsidR="00B45E56" w:rsidRDefault="00B45E56">
      <w:pPr>
        <w:rPr>
          <w:rFonts w:ascii="Arial" w:hAnsi="Arial" w:cs="Arial"/>
          <w:sz w:val="20"/>
          <w:szCs w:val="20"/>
        </w:rPr>
      </w:pPr>
    </w:p>
    <w:p w:rsidR="00B45E56" w:rsidRDefault="000F5140">
      <w:pPr>
        <w:jc w:val="both"/>
        <w:rPr>
          <w:rFonts w:ascii="Arial" w:hAnsi="Arial" w:cs="Arial"/>
          <w:sz w:val="20"/>
          <w:szCs w:val="20"/>
        </w:rPr>
      </w:pPr>
      <w:r>
        <w:rPr>
          <w:rFonts w:ascii="Arial" w:hAnsi="Arial" w:cs="Arial"/>
          <w:sz w:val="20"/>
          <w:szCs w:val="20"/>
        </w:rPr>
        <w:t>Table (2):</w:t>
      </w:r>
    </w:p>
    <w:p w:rsidR="00B45E56" w:rsidRDefault="000F5140">
      <w:pPr>
        <w:jc w:val="both"/>
        <w:rPr>
          <w:rFonts w:ascii="Arial" w:hAnsi="Arial" w:cs="Arial"/>
          <w:sz w:val="20"/>
          <w:szCs w:val="20"/>
        </w:rPr>
      </w:pPr>
      <w:r>
        <w:rPr>
          <w:rFonts w:ascii="Arial" w:hAnsi="Arial" w:cs="Arial"/>
          <w:sz w:val="20"/>
          <w:szCs w:val="20"/>
        </w:rPr>
        <w:t xml:space="preserve">Survivability of the </w:t>
      </w:r>
      <w:r>
        <w:rPr>
          <w:rFonts w:ascii="Arial" w:hAnsi="Arial" w:cs="Arial"/>
          <w:i/>
          <w:iCs/>
          <w:sz w:val="20"/>
          <w:szCs w:val="20"/>
        </w:rPr>
        <w:t>S. furgipedra</w:t>
      </w:r>
      <w:r>
        <w:rPr>
          <w:rFonts w:ascii="Arial" w:hAnsi="Arial" w:cs="Arial"/>
          <w:sz w:val="20"/>
          <w:szCs w:val="20"/>
        </w:rPr>
        <w:t xml:space="preserve"> SF9 cells (250.000/0.5ml) due to the effect of the photosensitizer L-tryptophan, Mandelic acid, Histidine or L-b-phenyl lactic acid with different concentrations after UV exposure (380- 400 W/M</w:t>
      </w:r>
      <w:r>
        <w:rPr>
          <w:rFonts w:ascii="Arial" w:hAnsi="Arial" w:cs="Arial"/>
          <w:sz w:val="20"/>
          <w:szCs w:val="20"/>
          <w:vertAlign w:val="superscript"/>
        </w:rPr>
        <w:t>2</w:t>
      </w:r>
      <w:r>
        <w:rPr>
          <w:rFonts w:ascii="Arial" w:hAnsi="Arial" w:cs="Arial"/>
          <w:sz w:val="20"/>
          <w:szCs w:val="20"/>
        </w:rPr>
        <w:t xml:space="preserve"> artificial lights). </w:t>
      </w:r>
    </w:p>
    <w:p w:rsidR="00B45E56" w:rsidRDefault="00B45E56">
      <w:pPr>
        <w:rPr>
          <w:rFonts w:ascii="Arial" w:hAnsi="Arial" w:cs="Arial"/>
          <w:sz w:val="20"/>
          <w:szCs w:val="20"/>
        </w:rPr>
      </w:pPr>
    </w:p>
    <w:p w:rsidR="00B45E56" w:rsidRDefault="00B45E56">
      <w:pPr>
        <w:rPr>
          <w:rFonts w:ascii="Arial" w:hAnsi="Arial" w:cs="Arial"/>
          <w:sz w:val="20"/>
          <w:szCs w:val="20"/>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26"/>
        <w:gridCol w:w="1324"/>
        <w:gridCol w:w="1749"/>
        <w:gridCol w:w="62"/>
        <w:gridCol w:w="1789"/>
        <w:gridCol w:w="1789"/>
        <w:gridCol w:w="1769"/>
      </w:tblGrid>
      <w:tr w:rsidR="00B45E56">
        <w:tc>
          <w:tcPr>
            <w:tcW w:w="1526" w:type="dxa"/>
          </w:tcPr>
          <w:p w:rsidR="00B45E56" w:rsidRDefault="000F5140">
            <w:pPr>
              <w:rPr>
                <w:rFonts w:ascii="Arial" w:hAnsi="Arial" w:cs="Arial"/>
                <w:sz w:val="20"/>
                <w:szCs w:val="20"/>
              </w:rPr>
            </w:pPr>
            <w:r>
              <w:rPr>
                <w:rFonts w:ascii="Arial" w:hAnsi="Arial" w:cs="Arial"/>
                <w:sz w:val="20"/>
                <w:szCs w:val="20"/>
              </w:rPr>
              <w:t>Concentratios</w:t>
            </w:r>
          </w:p>
          <w:p w:rsidR="00B45E56" w:rsidRDefault="000F5140">
            <w:pPr>
              <w:rPr>
                <w:rFonts w:ascii="Arial" w:hAnsi="Arial" w:cs="Arial"/>
                <w:sz w:val="20"/>
                <w:szCs w:val="20"/>
              </w:rPr>
            </w:pPr>
            <w:r>
              <w:rPr>
                <w:rFonts w:ascii="Arial" w:hAnsi="Arial" w:cs="Arial"/>
                <w:sz w:val="20"/>
                <w:szCs w:val="20"/>
              </w:rPr>
              <w:t>(mM/ml)</w:t>
            </w:r>
          </w:p>
        </w:tc>
        <w:tc>
          <w:tcPr>
            <w:tcW w:w="1324" w:type="dxa"/>
          </w:tcPr>
          <w:p w:rsidR="00B45E56" w:rsidRDefault="000F5140">
            <w:pPr>
              <w:rPr>
                <w:rFonts w:ascii="Arial" w:hAnsi="Arial" w:cs="Arial"/>
                <w:sz w:val="20"/>
                <w:szCs w:val="20"/>
              </w:rPr>
            </w:pPr>
            <w:r>
              <w:rPr>
                <w:rFonts w:ascii="Arial" w:hAnsi="Arial" w:cs="Arial"/>
                <w:sz w:val="20"/>
                <w:szCs w:val="20"/>
              </w:rPr>
              <w:t>Control without irradiation</w:t>
            </w:r>
          </w:p>
          <w:p w:rsidR="00B45E56" w:rsidRDefault="000F5140">
            <w:pPr>
              <w:rPr>
                <w:rFonts w:ascii="Arial" w:hAnsi="Arial" w:cs="Arial"/>
                <w:sz w:val="20"/>
                <w:szCs w:val="20"/>
              </w:rPr>
            </w:pPr>
            <w:r>
              <w:rPr>
                <w:rFonts w:ascii="Arial" w:hAnsi="Arial" w:cs="Arial"/>
                <w:sz w:val="20"/>
                <w:szCs w:val="20"/>
              </w:rPr>
              <w:t>*Mean±S.D.</w:t>
            </w:r>
          </w:p>
        </w:tc>
        <w:tc>
          <w:tcPr>
            <w:tcW w:w="1811" w:type="dxa"/>
            <w:gridSpan w:val="2"/>
          </w:tcPr>
          <w:p w:rsidR="00B45E56" w:rsidRDefault="000F5140">
            <w:pPr>
              <w:rPr>
                <w:rFonts w:ascii="Arial" w:hAnsi="Arial" w:cs="Arial"/>
                <w:sz w:val="20"/>
                <w:szCs w:val="20"/>
              </w:rPr>
            </w:pPr>
            <w:r>
              <w:rPr>
                <w:rFonts w:ascii="Arial" w:hAnsi="Arial" w:cs="Arial"/>
                <w:sz w:val="20"/>
                <w:szCs w:val="20"/>
              </w:rPr>
              <w:t>Photosensitizer</w:t>
            </w:r>
          </w:p>
          <w:p w:rsidR="00B45E56" w:rsidRDefault="000F5140">
            <w:pPr>
              <w:rPr>
                <w:rFonts w:ascii="Arial" w:hAnsi="Arial" w:cs="Arial"/>
                <w:sz w:val="20"/>
                <w:szCs w:val="20"/>
              </w:rPr>
            </w:pPr>
            <w:r>
              <w:rPr>
                <w:rFonts w:ascii="Arial" w:hAnsi="Arial" w:cs="Arial"/>
                <w:sz w:val="20"/>
                <w:szCs w:val="20"/>
              </w:rPr>
              <w:t>L-tryptophan</w:t>
            </w:r>
          </w:p>
          <w:p w:rsidR="00B45E56" w:rsidRDefault="00B45E56">
            <w:pPr>
              <w:rPr>
                <w:rFonts w:ascii="Arial" w:hAnsi="Arial" w:cs="Arial"/>
                <w:sz w:val="20"/>
                <w:szCs w:val="20"/>
              </w:rPr>
            </w:pPr>
          </w:p>
          <w:p w:rsidR="00B45E56" w:rsidRDefault="000F5140">
            <w:pPr>
              <w:rPr>
                <w:rFonts w:ascii="Arial" w:hAnsi="Arial" w:cs="Arial"/>
                <w:sz w:val="20"/>
                <w:szCs w:val="20"/>
              </w:rPr>
            </w:pPr>
            <w:r>
              <w:rPr>
                <w:rFonts w:ascii="Arial" w:hAnsi="Arial" w:cs="Arial"/>
                <w:sz w:val="20"/>
                <w:szCs w:val="20"/>
              </w:rPr>
              <w:t xml:space="preserve"> Mean ± S.D.</w:t>
            </w:r>
          </w:p>
        </w:tc>
        <w:tc>
          <w:tcPr>
            <w:tcW w:w="1789" w:type="dxa"/>
          </w:tcPr>
          <w:p w:rsidR="00B45E56" w:rsidRDefault="000F5140">
            <w:pPr>
              <w:rPr>
                <w:rFonts w:ascii="Arial" w:hAnsi="Arial" w:cs="Arial"/>
                <w:sz w:val="20"/>
                <w:szCs w:val="20"/>
              </w:rPr>
            </w:pPr>
            <w:r>
              <w:rPr>
                <w:rFonts w:ascii="Arial" w:hAnsi="Arial" w:cs="Arial"/>
                <w:sz w:val="20"/>
                <w:szCs w:val="20"/>
              </w:rPr>
              <w:t>Photosensitizer Mandelic acid</w:t>
            </w:r>
          </w:p>
          <w:p w:rsidR="00B45E56" w:rsidRDefault="00B45E56">
            <w:pPr>
              <w:rPr>
                <w:rFonts w:ascii="Arial" w:hAnsi="Arial" w:cs="Arial"/>
                <w:sz w:val="20"/>
                <w:szCs w:val="20"/>
              </w:rPr>
            </w:pPr>
          </w:p>
          <w:p w:rsidR="00B45E56" w:rsidRDefault="000F5140">
            <w:pPr>
              <w:rPr>
                <w:rFonts w:ascii="Arial" w:hAnsi="Arial" w:cs="Arial"/>
                <w:sz w:val="20"/>
                <w:szCs w:val="20"/>
              </w:rPr>
            </w:pPr>
            <w:r>
              <w:rPr>
                <w:rFonts w:ascii="Arial" w:hAnsi="Arial" w:cs="Arial"/>
                <w:sz w:val="20"/>
                <w:szCs w:val="20"/>
              </w:rPr>
              <w:t>Mean ± S.D.</w:t>
            </w:r>
          </w:p>
        </w:tc>
        <w:tc>
          <w:tcPr>
            <w:tcW w:w="1789" w:type="dxa"/>
          </w:tcPr>
          <w:p w:rsidR="00B45E56" w:rsidRDefault="000F5140">
            <w:pPr>
              <w:rPr>
                <w:rFonts w:ascii="Arial" w:hAnsi="Arial" w:cs="Arial"/>
                <w:sz w:val="20"/>
                <w:szCs w:val="20"/>
              </w:rPr>
            </w:pPr>
            <w:r>
              <w:rPr>
                <w:rFonts w:ascii="Arial" w:hAnsi="Arial" w:cs="Arial"/>
                <w:sz w:val="20"/>
                <w:szCs w:val="20"/>
              </w:rPr>
              <w:t>Photosensitizer Histidine</w:t>
            </w:r>
          </w:p>
          <w:p w:rsidR="00B45E56" w:rsidRDefault="00B45E56">
            <w:pPr>
              <w:rPr>
                <w:rFonts w:ascii="Arial" w:hAnsi="Arial" w:cs="Arial"/>
                <w:sz w:val="20"/>
                <w:szCs w:val="20"/>
              </w:rPr>
            </w:pPr>
          </w:p>
          <w:p w:rsidR="00B45E56" w:rsidRDefault="000F5140">
            <w:pPr>
              <w:rPr>
                <w:rFonts w:ascii="Arial" w:hAnsi="Arial" w:cs="Arial"/>
                <w:sz w:val="20"/>
                <w:szCs w:val="20"/>
              </w:rPr>
            </w:pPr>
            <w:r>
              <w:rPr>
                <w:rFonts w:ascii="Arial" w:hAnsi="Arial" w:cs="Arial"/>
                <w:sz w:val="20"/>
                <w:szCs w:val="20"/>
              </w:rPr>
              <w:t>Mean ± S.D.</w:t>
            </w:r>
          </w:p>
        </w:tc>
        <w:tc>
          <w:tcPr>
            <w:tcW w:w="1769" w:type="dxa"/>
          </w:tcPr>
          <w:p w:rsidR="00B45E56" w:rsidRDefault="000F5140">
            <w:pPr>
              <w:rPr>
                <w:rFonts w:ascii="Arial" w:hAnsi="Arial" w:cs="Arial"/>
                <w:sz w:val="20"/>
                <w:szCs w:val="20"/>
              </w:rPr>
            </w:pPr>
            <w:r>
              <w:rPr>
                <w:rFonts w:ascii="Arial" w:hAnsi="Arial" w:cs="Arial"/>
                <w:sz w:val="20"/>
                <w:szCs w:val="20"/>
              </w:rPr>
              <w:t xml:space="preserve">Photosensitizer </w:t>
            </w:r>
          </w:p>
          <w:p w:rsidR="00B45E56" w:rsidRDefault="000F5140">
            <w:pPr>
              <w:rPr>
                <w:rFonts w:ascii="Arial" w:hAnsi="Arial" w:cs="Arial"/>
                <w:sz w:val="20"/>
                <w:szCs w:val="20"/>
              </w:rPr>
            </w:pPr>
            <w:r>
              <w:rPr>
                <w:rFonts w:ascii="Arial" w:hAnsi="Arial" w:cs="Arial"/>
                <w:sz w:val="20"/>
                <w:szCs w:val="20"/>
              </w:rPr>
              <w:t xml:space="preserve">L-b-phenyl lactic acid </w:t>
            </w:r>
          </w:p>
          <w:p w:rsidR="00B45E56" w:rsidRDefault="000F5140">
            <w:pPr>
              <w:rPr>
                <w:rFonts w:ascii="Arial" w:hAnsi="Arial" w:cs="Arial"/>
                <w:sz w:val="20"/>
                <w:szCs w:val="20"/>
              </w:rPr>
            </w:pPr>
            <w:r>
              <w:rPr>
                <w:rFonts w:ascii="Arial" w:hAnsi="Arial" w:cs="Arial"/>
                <w:sz w:val="20"/>
                <w:szCs w:val="20"/>
              </w:rPr>
              <w:t>Mean ± S.D.</w:t>
            </w:r>
          </w:p>
        </w:tc>
      </w:tr>
      <w:tr w:rsidR="00B45E56">
        <w:tc>
          <w:tcPr>
            <w:tcW w:w="1526" w:type="dxa"/>
          </w:tcPr>
          <w:p w:rsidR="00B45E56" w:rsidRDefault="000F5140">
            <w:pPr>
              <w:rPr>
                <w:rFonts w:ascii="Arial" w:hAnsi="Arial" w:cs="Arial"/>
                <w:sz w:val="20"/>
                <w:szCs w:val="20"/>
              </w:rPr>
            </w:pPr>
            <w:r>
              <w:rPr>
                <w:rFonts w:ascii="Arial" w:hAnsi="Arial" w:cs="Arial"/>
                <w:sz w:val="20"/>
                <w:szCs w:val="20"/>
              </w:rPr>
              <w:t>7.5</w:t>
            </w:r>
          </w:p>
        </w:tc>
        <w:tc>
          <w:tcPr>
            <w:tcW w:w="1324" w:type="dxa"/>
          </w:tcPr>
          <w:p w:rsidR="00B45E56" w:rsidRDefault="000F5140">
            <w:pPr>
              <w:rPr>
                <w:rFonts w:ascii="Arial" w:hAnsi="Arial" w:cs="Arial"/>
                <w:sz w:val="20"/>
                <w:szCs w:val="20"/>
              </w:rPr>
            </w:pPr>
            <w:r>
              <w:rPr>
                <w:rFonts w:ascii="Arial" w:hAnsi="Arial" w:cs="Arial"/>
                <w:sz w:val="20"/>
                <w:szCs w:val="20"/>
              </w:rPr>
              <w:t>45.89</w:t>
            </w:r>
            <w:r>
              <w:rPr>
                <w:rFonts w:ascii="Arial" w:hAnsi="Arial" w:cs="Arial"/>
                <w:sz w:val="20"/>
                <w:szCs w:val="20"/>
              </w:rPr>
              <w:sym w:font="Symbol" w:char="F0B1"/>
            </w:r>
            <w:r>
              <w:rPr>
                <w:rFonts w:ascii="Arial" w:hAnsi="Arial" w:cs="Arial"/>
                <w:sz w:val="20"/>
                <w:szCs w:val="20"/>
              </w:rPr>
              <w:t>2.56</w:t>
            </w:r>
          </w:p>
        </w:tc>
        <w:tc>
          <w:tcPr>
            <w:tcW w:w="1749" w:type="dxa"/>
          </w:tcPr>
          <w:p w:rsidR="00B45E56" w:rsidRDefault="000F5140">
            <w:pPr>
              <w:rPr>
                <w:rFonts w:ascii="Arial" w:hAnsi="Arial" w:cs="Arial"/>
                <w:sz w:val="20"/>
                <w:szCs w:val="20"/>
              </w:rPr>
            </w:pPr>
            <w:r>
              <w:rPr>
                <w:rFonts w:ascii="Arial" w:hAnsi="Arial" w:cs="Arial"/>
                <w:sz w:val="20"/>
                <w:szCs w:val="20"/>
              </w:rPr>
              <w:t>40.89</w:t>
            </w:r>
            <w:r>
              <w:rPr>
                <w:rFonts w:ascii="Arial" w:hAnsi="Arial" w:cs="Arial"/>
                <w:sz w:val="20"/>
                <w:szCs w:val="20"/>
              </w:rPr>
              <w:sym w:font="Symbol" w:char="F0B1"/>
            </w:r>
            <w:r>
              <w:rPr>
                <w:rFonts w:ascii="Arial" w:hAnsi="Arial" w:cs="Arial"/>
                <w:sz w:val="20"/>
                <w:szCs w:val="20"/>
              </w:rPr>
              <w:t>3.95</w:t>
            </w:r>
          </w:p>
        </w:tc>
        <w:tc>
          <w:tcPr>
            <w:tcW w:w="1851" w:type="dxa"/>
            <w:gridSpan w:val="2"/>
          </w:tcPr>
          <w:p w:rsidR="00B45E56" w:rsidRDefault="000F5140">
            <w:pPr>
              <w:rPr>
                <w:rFonts w:ascii="Arial" w:hAnsi="Arial" w:cs="Arial"/>
                <w:sz w:val="20"/>
                <w:szCs w:val="20"/>
              </w:rPr>
            </w:pPr>
            <w:r>
              <w:rPr>
                <w:rFonts w:ascii="Arial" w:hAnsi="Arial" w:cs="Arial"/>
                <w:sz w:val="20"/>
                <w:szCs w:val="20"/>
              </w:rPr>
              <w:t>43.97</w:t>
            </w:r>
            <w:r>
              <w:rPr>
                <w:rFonts w:ascii="Arial" w:hAnsi="Arial" w:cs="Arial"/>
                <w:sz w:val="20"/>
                <w:szCs w:val="20"/>
              </w:rPr>
              <w:sym w:font="Symbol" w:char="F0B1"/>
            </w:r>
            <w:r>
              <w:rPr>
                <w:rFonts w:ascii="Arial" w:hAnsi="Arial" w:cs="Arial"/>
                <w:sz w:val="20"/>
                <w:szCs w:val="20"/>
              </w:rPr>
              <w:t>3.11</w:t>
            </w:r>
          </w:p>
        </w:tc>
        <w:tc>
          <w:tcPr>
            <w:tcW w:w="1789" w:type="dxa"/>
          </w:tcPr>
          <w:p w:rsidR="00B45E56" w:rsidRDefault="000F5140">
            <w:pPr>
              <w:rPr>
                <w:rFonts w:ascii="Arial" w:hAnsi="Arial" w:cs="Arial"/>
                <w:sz w:val="20"/>
                <w:szCs w:val="20"/>
              </w:rPr>
            </w:pPr>
            <w:r>
              <w:rPr>
                <w:rFonts w:ascii="Arial" w:hAnsi="Arial" w:cs="Arial"/>
                <w:sz w:val="20"/>
                <w:szCs w:val="20"/>
              </w:rPr>
              <w:t>39.64</w:t>
            </w:r>
            <w:r>
              <w:rPr>
                <w:rFonts w:ascii="Arial" w:hAnsi="Arial" w:cs="Arial"/>
                <w:sz w:val="20"/>
                <w:szCs w:val="20"/>
              </w:rPr>
              <w:sym w:font="Symbol" w:char="F0B1"/>
            </w:r>
            <w:r>
              <w:rPr>
                <w:rFonts w:ascii="Arial" w:hAnsi="Arial" w:cs="Arial"/>
                <w:sz w:val="20"/>
                <w:szCs w:val="20"/>
              </w:rPr>
              <w:t>4.54</w:t>
            </w:r>
          </w:p>
        </w:tc>
        <w:tc>
          <w:tcPr>
            <w:tcW w:w="1769" w:type="dxa"/>
          </w:tcPr>
          <w:p w:rsidR="00B45E56" w:rsidRDefault="000F5140">
            <w:pPr>
              <w:rPr>
                <w:rFonts w:ascii="Arial" w:hAnsi="Arial" w:cs="Arial"/>
                <w:sz w:val="20"/>
                <w:szCs w:val="20"/>
              </w:rPr>
            </w:pPr>
            <w:r>
              <w:rPr>
                <w:rFonts w:ascii="Arial" w:hAnsi="Arial" w:cs="Arial"/>
                <w:sz w:val="20"/>
                <w:szCs w:val="20"/>
              </w:rPr>
              <w:t>40.99</w:t>
            </w:r>
            <w:r>
              <w:rPr>
                <w:rFonts w:ascii="Arial" w:hAnsi="Arial" w:cs="Arial"/>
                <w:sz w:val="20"/>
                <w:szCs w:val="20"/>
              </w:rPr>
              <w:sym w:font="Symbol" w:char="F0B1"/>
            </w:r>
            <w:r>
              <w:rPr>
                <w:rFonts w:ascii="Arial" w:hAnsi="Arial" w:cs="Arial"/>
                <w:sz w:val="20"/>
                <w:szCs w:val="20"/>
              </w:rPr>
              <w:t>3.97</w:t>
            </w:r>
          </w:p>
        </w:tc>
      </w:tr>
      <w:tr w:rsidR="00B45E56">
        <w:tc>
          <w:tcPr>
            <w:tcW w:w="1526" w:type="dxa"/>
          </w:tcPr>
          <w:p w:rsidR="00B45E56" w:rsidRDefault="000F5140">
            <w:pPr>
              <w:rPr>
                <w:rFonts w:ascii="Arial" w:hAnsi="Arial" w:cs="Arial"/>
                <w:sz w:val="20"/>
                <w:szCs w:val="20"/>
              </w:rPr>
            </w:pPr>
            <w:r>
              <w:rPr>
                <w:rFonts w:ascii="Arial" w:hAnsi="Arial" w:cs="Arial"/>
                <w:sz w:val="20"/>
                <w:szCs w:val="20"/>
              </w:rPr>
              <w:t>5</w:t>
            </w:r>
          </w:p>
        </w:tc>
        <w:tc>
          <w:tcPr>
            <w:tcW w:w="1324" w:type="dxa"/>
          </w:tcPr>
          <w:p w:rsidR="00B45E56" w:rsidRDefault="000F5140">
            <w:pPr>
              <w:rPr>
                <w:rFonts w:ascii="Arial" w:hAnsi="Arial" w:cs="Arial"/>
                <w:sz w:val="20"/>
                <w:szCs w:val="20"/>
              </w:rPr>
            </w:pPr>
            <w:r>
              <w:rPr>
                <w:rFonts w:ascii="Arial" w:hAnsi="Arial" w:cs="Arial"/>
                <w:sz w:val="20"/>
                <w:szCs w:val="20"/>
              </w:rPr>
              <w:t xml:space="preserve">55.6 </w:t>
            </w:r>
            <w:r>
              <w:rPr>
                <w:rFonts w:ascii="Arial" w:hAnsi="Arial" w:cs="Arial"/>
                <w:sz w:val="20"/>
                <w:szCs w:val="20"/>
              </w:rPr>
              <w:sym w:font="Symbol" w:char="F0B1"/>
            </w:r>
            <w:r>
              <w:rPr>
                <w:rFonts w:ascii="Arial" w:hAnsi="Arial" w:cs="Arial"/>
                <w:sz w:val="20"/>
                <w:szCs w:val="20"/>
              </w:rPr>
              <w:t xml:space="preserve"> 2.7</w:t>
            </w:r>
          </w:p>
        </w:tc>
        <w:tc>
          <w:tcPr>
            <w:tcW w:w="1749" w:type="dxa"/>
          </w:tcPr>
          <w:p w:rsidR="00B45E56" w:rsidRDefault="000F5140">
            <w:pPr>
              <w:rPr>
                <w:rFonts w:ascii="Arial" w:hAnsi="Arial" w:cs="Arial"/>
                <w:sz w:val="20"/>
                <w:szCs w:val="20"/>
              </w:rPr>
            </w:pPr>
            <w:r>
              <w:rPr>
                <w:rFonts w:ascii="Arial" w:hAnsi="Arial" w:cs="Arial"/>
                <w:sz w:val="20"/>
                <w:szCs w:val="20"/>
              </w:rPr>
              <w:t xml:space="preserve">50.12 </w:t>
            </w:r>
            <w:r>
              <w:rPr>
                <w:rFonts w:ascii="Arial" w:hAnsi="Arial" w:cs="Arial"/>
                <w:sz w:val="20"/>
                <w:szCs w:val="20"/>
              </w:rPr>
              <w:sym w:font="Symbol" w:char="F0B1"/>
            </w:r>
            <w:r>
              <w:rPr>
                <w:rFonts w:ascii="Arial" w:hAnsi="Arial" w:cs="Arial"/>
                <w:sz w:val="20"/>
                <w:szCs w:val="20"/>
              </w:rPr>
              <w:t>2.55</w:t>
            </w:r>
          </w:p>
        </w:tc>
        <w:tc>
          <w:tcPr>
            <w:tcW w:w="1851" w:type="dxa"/>
            <w:gridSpan w:val="2"/>
          </w:tcPr>
          <w:p w:rsidR="00B45E56" w:rsidRDefault="000F5140">
            <w:pPr>
              <w:rPr>
                <w:rFonts w:ascii="Arial" w:hAnsi="Arial" w:cs="Arial"/>
                <w:sz w:val="20"/>
                <w:szCs w:val="20"/>
              </w:rPr>
            </w:pPr>
            <w:r>
              <w:rPr>
                <w:rFonts w:ascii="Arial" w:hAnsi="Arial" w:cs="Arial"/>
                <w:sz w:val="20"/>
                <w:szCs w:val="20"/>
              </w:rPr>
              <w:t>47.95</w:t>
            </w:r>
            <w:r>
              <w:rPr>
                <w:rFonts w:ascii="Arial" w:hAnsi="Arial" w:cs="Arial"/>
                <w:sz w:val="20"/>
                <w:szCs w:val="20"/>
              </w:rPr>
              <w:sym w:font="Symbol" w:char="F0B1"/>
            </w:r>
            <w:r>
              <w:rPr>
                <w:rFonts w:ascii="Arial" w:hAnsi="Arial" w:cs="Arial"/>
                <w:sz w:val="20"/>
                <w:szCs w:val="20"/>
              </w:rPr>
              <w:t>4.32</w:t>
            </w:r>
          </w:p>
        </w:tc>
        <w:tc>
          <w:tcPr>
            <w:tcW w:w="1789" w:type="dxa"/>
          </w:tcPr>
          <w:p w:rsidR="00B45E56" w:rsidRDefault="000F5140">
            <w:pPr>
              <w:rPr>
                <w:rFonts w:ascii="Arial" w:hAnsi="Arial" w:cs="Arial"/>
                <w:sz w:val="20"/>
                <w:szCs w:val="20"/>
              </w:rPr>
            </w:pPr>
            <w:r>
              <w:rPr>
                <w:rFonts w:ascii="Arial" w:hAnsi="Arial" w:cs="Arial"/>
                <w:sz w:val="20"/>
                <w:szCs w:val="20"/>
              </w:rPr>
              <w:t>50.89</w:t>
            </w:r>
            <w:r>
              <w:rPr>
                <w:rFonts w:ascii="Arial" w:hAnsi="Arial" w:cs="Arial"/>
                <w:sz w:val="20"/>
                <w:szCs w:val="20"/>
              </w:rPr>
              <w:sym w:font="Symbol" w:char="F0B1"/>
            </w:r>
            <w:r>
              <w:rPr>
                <w:rFonts w:ascii="Arial" w:hAnsi="Arial" w:cs="Arial"/>
                <w:sz w:val="20"/>
                <w:szCs w:val="20"/>
              </w:rPr>
              <w:t>3.65</w:t>
            </w:r>
          </w:p>
        </w:tc>
        <w:tc>
          <w:tcPr>
            <w:tcW w:w="1769" w:type="dxa"/>
          </w:tcPr>
          <w:p w:rsidR="00B45E56" w:rsidRDefault="000F5140">
            <w:pPr>
              <w:rPr>
                <w:rFonts w:ascii="Arial" w:hAnsi="Arial" w:cs="Arial"/>
                <w:sz w:val="20"/>
                <w:szCs w:val="20"/>
              </w:rPr>
            </w:pPr>
            <w:r>
              <w:rPr>
                <w:rFonts w:ascii="Arial" w:hAnsi="Arial" w:cs="Arial"/>
                <w:sz w:val="20"/>
                <w:szCs w:val="20"/>
              </w:rPr>
              <w:t xml:space="preserve">39.56 </w:t>
            </w:r>
            <w:r>
              <w:rPr>
                <w:rFonts w:ascii="Arial" w:hAnsi="Arial" w:cs="Arial"/>
                <w:sz w:val="20"/>
                <w:szCs w:val="20"/>
              </w:rPr>
              <w:sym w:font="Symbol" w:char="F0B1"/>
            </w:r>
            <w:r>
              <w:rPr>
                <w:rFonts w:ascii="Arial" w:hAnsi="Arial" w:cs="Arial"/>
                <w:sz w:val="20"/>
                <w:szCs w:val="20"/>
              </w:rPr>
              <w:t>4.43</w:t>
            </w:r>
          </w:p>
        </w:tc>
      </w:tr>
      <w:tr w:rsidR="00B45E56">
        <w:tc>
          <w:tcPr>
            <w:tcW w:w="1526" w:type="dxa"/>
          </w:tcPr>
          <w:p w:rsidR="00B45E56" w:rsidRDefault="000F5140">
            <w:pPr>
              <w:rPr>
                <w:rFonts w:ascii="Arial" w:hAnsi="Arial" w:cs="Arial"/>
                <w:sz w:val="20"/>
                <w:szCs w:val="20"/>
              </w:rPr>
            </w:pPr>
            <w:r>
              <w:rPr>
                <w:rFonts w:ascii="Arial" w:hAnsi="Arial" w:cs="Arial"/>
                <w:sz w:val="20"/>
                <w:szCs w:val="20"/>
              </w:rPr>
              <w:t>2.5</w:t>
            </w:r>
          </w:p>
        </w:tc>
        <w:tc>
          <w:tcPr>
            <w:tcW w:w="1324" w:type="dxa"/>
          </w:tcPr>
          <w:p w:rsidR="00B45E56" w:rsidRDefault="000F5140">
            <w:pPr>
              <w:rPr>
                <w:rFonts w:ascii="Arial" w:hAnsi="Arial" w:cs="Arial"/>
                <w:sz w:val="20"/>
                <w:szCs w:val="20"/>
              </w:rPr>
            </w:pPr>
            <w:r>
              <w:rPr>
                <w:rFonts w:ascii="Arial" w:hAnsi="Arial" w:cs="Arial"/>
                <w:sz w:val="20"/>
                <w:szCs w:val="20"/>
              </w:rPr>
              <w:t>65.34</w:t>
            </w:r>
            <w:r>
              <w:rPr>
                <w:rFonts w:ascii="Arial" w:hAnsi="Arial" w:cs="Arial"/>
                <w:sz w:val="20"/>
                <w:szCs w:val="20"/>
              </w:rPr>
              <w:sym w:font="Symbol" w:char="F0B1"/>
            </w:r>
            <w:r>
              <w:rPr>
                <w:rFonts w:ascii="Arial" w:hAnsi="Arial" w:cs="Arial"/>
                <w:sz w:val="20"/>
                <w:szCs w:val="20"/>
              </w:rPr>
              <w:t>1.43</w:t>
            </w:r>
          </w:p>
        </w:tc>
        <w:tc>
          <w:tcPr>
            <w:tcW w:w="1749" w:type="dxa"/>
          </w:tcPr>
          <w:p w:rsidR="00B45E56" w:rsidRDefault="000F5140">
            <w:pPr>
              <w:rPr>
                <w:rFonts w:ascii="Arial" w:hAnsi="Arial" w:cs="Arial"/>
                <w:sz w:val="20"/>
                <w:szCs w:val="20"/>
              </w:rPr>
            </w:pPr>
            <w:r>
              <w:rPr>
                <w:rFonts w:ascii="Arial" w:hAnsi="Arial" w:cs="Arial"/>
                <w:sz w:val="20"/>
                <w:szCs w:val="20"/>
              </w:rPr>
              <w:t xml:space="preserve">55.87 </w:t>
            </w:r>
            <w:r>
              <w:rPr>
                <w:rFonts w:ascii="Arial" w:hAnsi="Arial" w:cs="Arial"/>
                <w:sz w:val="20"/>
                <w:szCs w:val="20"/>
              </w:rPr>
              <w:sym w:font="Symbol" w:char="F0B1"/>
            </w:r>
            <w:r>
              <w:rPr>
                <w:rFonts w:ascii="Arial" w:hAnsi="Arial" w:cs="Arial"/>
                <w:sz w:val="20"/>
                <w:szCs w:val="20"/>
              </w:rPr>
              <w:t>3.97</w:t>
            </w:r>
          </w:p>
        </w:tc>
        <w:tc>
          <w:tcPr>
            <w:tcW w:w="1851" w:type="dxa"/>
            <w:gridSpan w:val="2"/>
          </w:tcPr>
          <w:p w:rsidR="00B45E56" w:rsidRDefault="000F5140">
            <w:pPr>
              <w:rPr>
                <w:rFonts w:ascii="Arial" w:hAnsi="Arial" w:cs="Arial"/>
                <w:sz w:val="20"/>
                <w:szCs w:val="20"/>
              </w:rPr>
            </w:pPr>
            <w:r>
              <w:rPr>
                <w:rFonts w:ascii="Arial" w:hAnsi="Arial" w:cs="Arial"/>
                <w:sz w:val="20"/>
                <w:szCs w:val="20"/>
              </w:rPr>
              <w:t>50.86</w:t>
            </w:r>
            <w:r>
              <w:rPr>
                <w:rFonts w:ascii="Arial" w:hAnsi="Arial" w:cs="Arial"/>
                <w:sz w:val="20"/>
                <w:szCs w:val="20"/>
              </w:rPr>
              <w:sym w:font="Symbol" w:char="F0B1"/>
            </w:r>
            <w:r>
              <w:rPr>
                <w:rFonts w:ascii="Arial" w:hAnsi="Arial" w:cs="Arial"/>
                <w:sz w:val="20"/>
                <w:szCs w:val="20"/>
              </w:rPr>
              <w:t>4.54</w:t>
            </w:r>
          </w:p>
        </w:tc>
        <w:tc>
          <w:tcPr>
            <w:tcW w:w="1789" w:type="dxa"/>
          </w:tcPr>
          <w:p w:rsidR="00B45E56" w:rsidRDefault="000F5140">
            <w:pPr>
              <w:rPr>
                <w:rFonts w:ascii="Arial" w:hAnsi="Arial" w:cs="Arial"/>
                <w:sz w:val="20"/>
                <w:szCs w:val="20"/>
              </w:rPr>
            </w:pPr>
            <w:r>
              <w:rPr>
                <w:rFonts w:ascii="Arial" w:hAnsi="Arial" w:cs="Arial"/>
                <w:sz w:val="20"/>
                <w:szCs w:val="20"/>
              </w:rPr>
              <w:t>49.75</w:t>
            </w:r>
            <w:r>
              <w:rPr>
                <w:rFonts w:ascii="Arial" w:hAnsi="Arial" w:cs="Arial"/>
                <w:sz w:val="20"/>
                <w:szCs w:val="20"/>
              </w:rPr>
              <w:sym w:font="Symbol" w:char="F0B1"/>
            </w:r>
            <w:r>
              <w:rPr>
                <w:rFonts w:ascii="Arial" w:hAnsi="Arial" w:cs="Arial"/>
                <w:sz w:val="20"/>
                <w:szCs w:val="20"/>
              </w:rPr>
              <w:t>5.64</w:t>
            </w:r>
          </w:p>
        </w:tc>
        <w:tc>
          <w:tcPr>
            <w:tcW w:w="1769" w:type="dxa"/>
          </w:tcPr>
          <w:p w:rsidR="00B45E56" w:rsidRDefault="000F5140">
            <w:pPr>
              <w:rPr>
                <w:rFonts w:ascii="Arial" w:hAnsi="Arial" w:cs="Arial"/>
                <w:sz w:val="20"/>
                <w:szCs w:val="20"/>
              </w:rPr>
            </w:pPr>
            <w:r>
              <w:rPr>
                <w:rFonts w:ascii="Arial" w:hAnsi="Arial" w:cs="Arial"/>
                <w:sz w:val="20"/>
                <w:szCs w:val="20"/>
              </w:rPr>
              <w:t xml:space="preserve">44.75 </w:t>
            </w:r>
            <w:r>
              <w:rPr>
                <w:rFonts w:ascii="Arial" w:hAnsi="Arial" w:cs="Arial"/>
                <w:sz w:val="20"/>
                <w:szCs w:val="20"/>
              </w:rPr>
              <w:sym w:font="Symbol" w:char="F0B1"/>
            </w:r>
            <w:r>
              <w:rPr>
                <w:rFonts w:ascii="Arial" w:hAnsi="Arial" w:cs="Arial"/>
                <w:sz w:val="20"/>
                <w:szCs w:val="20"/>
              </w:rPr>
              <w:t>3.67</w:t>
            </w:r>
          </w:p>
        </w:tc>
      </w:tr>
      <w:tr w:rsidR="00B45E56">
        <w:tc>
          <w:tcPr>
            <w:tcW w:w="1526" w:type="dxa"/>
          </w:tcPr>
          <w:p w:rsidR="00B45E56" w:rsidRDefault="000F5140">
            <w:pPr>
              <w:rPr>
                <w:rFonts w:ascii="Arial" w:hAnsi="Arial" w:cs="Arial"/>
                <w:sz w:val="20"/>
                <w:szCs w:val="20"/>
              </w:rPr>
            </w:pPr>
            <w:r>
              <w:rPr>
                <w:rFonts w:ascii="Arial" w:hAnsi="Arial" w:cs="Arial"/>
                <w:sz w:val="20"/>
                <w:szCs w:val="20"/>
              </w:rPr>
              <w:t>1</w:t>
            </w:r>
          </w:p>
        </w:tc>
        <w:tc>
          <w:tcPr>
            <w:tcW w:w="1324" w:type="dxa"/>
          </w:tcPr>
          <w:p w:rsidR="00B45E56" w:rsidRDefault="000F5140">
            <w:pPr>
              <w:rPr>
                <w:rFonts w:ascii="Arial" w:hAnsi="Arial" w:cs="Arial"/>
                <w:sz w:val="20"/>
                <w:szCs w:val="20"/>
              </w:rPr>
            </w:pPr>
            <w:r>
              <w:rPr>
                <w:rFonts w:ascii="Arial" w:hAnsi="Arial" w:cs="Arial"/>
                <w:sz w:val="20"/>
                <w:szCs w:val="20"/>
              </w:rPr>
              <w:t>90.56</w:t>
            </w:r>
            <w:r>
              <w:rPr>
                <w:rFonts w:ascii="Arial" w:hAnsi="Arial" w:cs="Arial"/>
                <w:sz w:val="20"/>
                <w:szCs w:val="20"/>
              </w:rPr>
              <w:sym w:font="Symbol" w:char="F0B1"/>
            </w:r>
            <w:r>
              <w:rPr>
                <w:rFonts w:ascii="Arial" w:hAnsi="Arial" w:cs="Arial"/>
                <w:sz w:val="20"/>
                <w:szCs w:val="20"/>
              </w:rPr>
              <w:t>1.70</w:t>
            </w:r>
          </w:p>
        </w:tc>
        <w:tc>
          <w:tcPr>
            <w:tcW w:w="1749" w:type="dxa"/>
          </w:tcPr>
          <w:p w:rsidR="00B45E56" w:rsidRDefault="000F5140">
            <w:pPr>
              <w:rPr>
                <w:rFonts w:ascii="Arial" w:hAnsi="Arial" w:cs="Arial"/>
                <w:sz w:val="20"/>
                <w:szCs w:val="20"/>
              </w:rPr>
            </w:pPr>
            <w:r>
              <w:rPr>
                <w:rFonts w:ascii="Arial" w:hAnsi="Arial" w:cs="Arial"/>
                <w:sz w:val="20"/>
                <w:szCs w:val="20"/>
              </w:rPr>
              <w:t xml:space="preserve">60.65 </w:t>
            </w:r>
            <w:r>
              <w:rPr>
                <w:rFonts w:ascii="Arial" w:hAnsi="Arial" w:cs="Arial"/>
                <w:sz w:val="20"/>
                <w:szCs w:val="20"/>
              </w:rPr>
              <w:sym w:font="Symbol" w:char="F0B1"/>
            </w:r>
            <w:r>
              <w:rPr>
                <w:rFonts w:ascii="Arial" w:hAnsi="Arial" w:cs="Arial"/>
                <w:sz w:val="20"/>
                <w:szCs w:val="20"/>
              </w:rPr>
              <w:t xml:space="preserve"> 4.66</w:t>
            </w:r>
          </w:p>
        </w:tc>
        <w:tc>
          <w:tcPr>
            <w:tcW w:w="1851" w:type="dxa"/>
            <w:gridSpan w:val="2"/>
          </w:tcPr>
          <w:p w:rsidR="00B45E56" w:rsidRDefault="000F5140">
            <w:pPr>
              <w:rPr>
                <w:rFonts w:ascii="Arial" w:hAnsi="Arial" w:cs="Arial"/>
                <w:sz w:val="20"/>
                <w:szCs w:val="20"/>
              </w:rPr>
            </w:pPr>
            <w:r>
              <w:rPr>
                <w:rFonts w:ascii="Arial" w:hAnsi="Arial" w:cs="Arial"/>
                <w:sz w:val="20"/>
                <w:szCs w:val="20"/>
              </w:rPr>
              <w:t>55.85</w:t>
            </w:r>
            <w:r>
              <w:rPr>
                <w:rFonts w:ascii="Arial" w:hAnsi="Arial" w:cs="Arial"/>
                <w:sz w:val="20"/>
                <w:szCs w:val="20"/>
              </w:rPr>
              <w:sym w:font="Symbol" w:char="F0B1"/>
            </w:r>
            <w:r>
              <w:rPr>
                <w:rFonts w:ascii="Arial" w:hAnsi="Arial" w:cs="Arial"/>
                <w:sz w:val="20"/>
                <w:szCs w:val="20"/>
              </w:rPr>
              <w:t>5.86</w:t>
            </w:r>
          </w:p>
        </w:tc>
        <w:tc>
          <w:tcPr>
            <w:tcW w:w="1789" w:type="dxa"/>
          </w:tcPr>
          <w:p w:rsidR="00B45E56" w:rsidRDefault="000F5140">
            <w:pPr>
              <w:rPr>
                <w:rFonts w:ascii="Arial" w:hAnsi="Arial" w:cs="Arial"/>
                <w:sz w:val="20"/>
                <w:szCs w:val="20"/>
              </w:rPr>
            </w:pPr>
            <w:r>
              <w:rPr>
                <w:rFonts w:ascii="Arial" w:hAnsi="Arial" w:cs="Arial"/>
                <w:sz w:val="20"/>
                <w:szCs w:val="20"/>
              </w:rPr>
              <w:t>59.65</w:t>
            </w:r>
            <w:r>
              <w:rPr>
                <w:rFonts w:ascii="Arial" w:hAnsi="Arial" w:cs="Arial"/>
                <w:sz w:val="20"/>
                <w:szCs w:val="20"/>
              </w:rPr>
              <w:sym w:font="Symbol" w:char="F0B1"/>
            </w:r>
            <w:r>
              <w:rPr>
                <w:rFonts w:ascii="Arial" w:hAnsi="Arial" w:cs="Arial"/>
                <w:sz w:val="20"/>
                <w:szCs w:val="20"/>
              </w:rPr>
              <w:t>3.75</w:t>
            </w:r>
          </w:p>
        </w:tc>
        <w:tc>
          <w:tcPr>
            <w:tcW w:w="1769" w:type="dxa"/>
          </w:tcPr>
          <w:p w:rsidR="00B45E56" w:rsidRDefault="000F5140">
            <w:pPr>
              <w:rPr>
                <w:rFonts w:ascii="Arial" w:hAnsi="Arial" w:cs="Arial"/>
                <w:sz w:val="20"/>
                <w:szCs w:val="20"/>
              </w:rPr>
            </w:pPr>
            <w:r>
              <w:rPr>
                <w:rFonts w:ascii="Arial" w:hAnsi="Arial" w:cs="Arial"/>
                <w:sz w:val="20"/>
                <w:szCs w:val="20"/>
              </w:rPr>
              <w:t>45.4</w:t>
            </w:r>
            <w:r>
              <w:rPr>
                <w:rFonts w:ascii="Arial" w:hAnsi="Arial" w:cs="Arial"/>
                <w:sz w:val="20"/>
                <w:szCs w:val="20"/>
              </w:rPr>
              <w:sym w:font="Symbol" w:char="F0B1"/>
            </w:r>
            <w:r>
              <w:rPr>
                <w:rFonts w:ascii="Arial" w:hAnsi="Arial" w:cs="Arial"/>
                <w:sz w:val="20"/>
                <w:szCs w:val="20"/>
              </w:rPr>
              <w:t>6.43</w:t>
            </w:r>
          </w:p>
        </w:tc>
      </w:tr>
      <w:tr w:rsidR="00B45E56">
        <w:tc>
          <w:tcPr>
            <w:tcW w:w="1526" w:type="dxa"/>
          </w:tcPr>
          <w:p w:rsidR="00B45E56" w:rsidRDefault="000F5140">
            <w:pPr>
              <w:rPr>
                <w:rFonts w:ascii="Arial" w:hAnsi="Arial" w:cs="Arial"/>
                <w:sz w:val="20"/>
                <w:szCs w:val="20"/>
              </w:rPr>
            </w:pPr>
            <w:r>
              <w:rPr>
                <w:rFonts w:ascii="Arial" w:hAnsi="Arial" w:cs="Arial"/>
                <w:sz w:val="20"/>
                <w:szCs w:val="20"/>
              </w:rPr>
              <w:t>.25</w:t>
            </w:r>
          </w:p>
        </w:tc>
        <w:tc>
          <w:tcPr>
            <w:tcW w:w="1324" w:type="dxa"/>
          </w:tcPr>
          <w:p w:rsidR="00B45E56" w:rsidRDefault="000F5140">
            <w:pPr>
              <w:rPr>
                <w:rFonts w:ascii="Arial" w:hAnsi="Arial" w:cs="Arial"/>
                <w:sz w:val="20"/>
                <w:szCs w:val="20"/>
              </w:rPr>
            </w:pPr>
            <w:r>
              <w:rPr>
                <w:rFonts w:ascii="Arial" w:hAnsi="Arial" w:cs="Arial"/>
                <w:sz w:val="20"/>
                <w:szCs w:val="20"/>
              </w:rPr>
              <w:t>95.54</w:t>
            </w:r>
            <w:r>
              <w:rPr>
                <w:rFonts w:ascii="Arial" w:hAnsi="Arial" w:cs="Arial"/>
                <w:sz w:val="20"/>
                <w:szCs w:val="20"/>
              </w:rPr>
              <w:sym w:font="Symbol" w:char="F0B1"/>
            </w:r>
            <w:r>
              <w:rPr>
                <w:rFonts w:ascii="Arial" w:hAnsi="Arial" w:cs="Arial"/>
                <w:sz w:val="20"/>
                <w:szCs w:val="20"/>
              </w:rPr>
              <w:t>3.88</w:t>
            </w:r>
          </w:p>
        </w:tc>
        <w:tc>
          <w:tcPr>
            <w:tcW w:w="1749" w:type="dxa"/>
          </w:tcPr>
          <w:p w:rsidR="00B45E56" w:rsidRDefault="000F5140">
            <w:pPr>
              <w:rPr>
                <w:rFonts w:ascii="Arial" w:hAnsi="Arial" w:cs="Arial"/>
                <w:sz w:val="20"/>
                <w:szCs w:val="20"/>
              </w:rPr>
            </w:pPr>
            <w:r>
              <w:rPr>
                <w:rFonts w:ascii="Arial" w:hAnsi="Arial" w:cs="Arial"/>
                <w:sz w:val="20"/>
                <w:szCs w:val="20"/>
              </w:rPr>
              <w:t xml:space="preserve">85.85 </w:t>
            </w:r>
            <w:r>
              <w:rPr>
                <w:rFonts w:ascii="Arial" w:hAnsi="Arial" w:cs="Arial"/>
                <w:sz w:val="20"/>
                <w:szCs w:val="20"/>
              </w:rPr>
              <w:sym w:font="Symbol" w:char="F0B1"/>
            </w:r>
            <w:r>
              <w:rPr>
                <w:rFonts w:ascii="Arial" w:hAnsi="Arial" w:cs="Arial"/>
                <w:sz w:val="20"/>
                <w:szCs w:val="20"/>
              </w:rPr>
              <w:t xml:space="preserve"> 5.33</w:t>
            </w:r>
          </w:p>
        </w:tc>
        <w:tc>
          <w:tcPr>
            <w:tcW w:w="1851" w:type="dxa"/>
            <w:gridSpan w:val="2"/>
          </w:tcPr>
          <w:p w:rsidR="00B45E56" w:rsidRDefault="000F5140">
            <w:pPr>
              <w:rPr>
                <w:rFonts w:ascii="Arial" w:hAnsi="Arial" w:cs="Arial"/>
                <w:sz w:val="20"/>
                <w:szCs w:val="20"/>
              </w:rPr>
            </w:pPr>
            <w:r>
              <w:rPr>
                <w:rFonts w:ascii="Arial" w:hAnsi="Arial" w:cs="Arial"/>
                <w:sz w:val="20"/>
                <w:szCs w:val="20"/>
              </w:rPr>
              <w:t>79.86</w:t>
            </w:r>
            <w:r>
              <w:rPr>
                <w:rFonts w:ascii="Arial" w:hAnsi="Arial" w:cs="Arial"/>
                <w:sz w:val="20"/>
                <w:szCs w:val="20"/>
              </w:rPr>
              <w:sym w:font="Symbol" w:char="F0B1"/>
            </w:r>
            <w:r>
              <w:rPr>
                <w:rFonts w:ascii="Arial" w:hAnsi="Arial" w:cs="Arial"/>
                <w:sz w:val="20"/>
                <w:szCs w:val="20"/>
              </w:rPr>
              <w:t>6.44</w:t>
            </w:r>
          </w:p>
        </w:tc>
        <w:tc>
          <w:tcPr>
            <w:tcW w:w="1789" w:type="dxa"/>
          </w:tcPr>
          <w:p w:rsidR="00B45E56" w:rsidRDefault="000F5140">
            <w:pPr>
              <w:rPr>
                <w:rFonts w:ascii="Arial" w:hAnsi="Arial" w:cs="Arial"/>
                <w:sz w:val="20"/>
                <w:szCs w:val="20"/>
              </w:rPr>
            </w:pPr>
            <w:r>
              <w:rPr>
                <w:rFonts w:ascii="Arial" w:hAnsi="Arial" w:cs="Arial"/>
                <w:sz w:val="20"/>
                <w:szCs w:val="20"/>
              </w:rPr>
              <w:t>88.32</w:t>
            </w:r>
            <w:r>
              <w:rPr>
                <w:rFonts w:ascii="Arial" w:hAnsi="Arial" w:cs="Arial"/>
                <w:sz w:val="20"/>
                <w:szCs w:val="20"/>
              </w:rPr>
              <w:sym w:font="Symbol" w:char="F0B1"/>
            </w:r>
            <w:r>
              <w:rPr>
                <w:rFonts w:ascii="Arial" w:hAnsi="Arial" w:cs="Arial"/>
                <w:sz w:val="20"/>
                <w:szCs w:val="20"/>
              </w:rPr>
              <w:t>4.98</w:t>
            </w:r>
          </w:p>
        </w:tc>
        <w:tc>
          <w:tcPr>
            <w:tcW w:w="1769" w:type="dxa"/>
          </w:tcPr>
          <w:p w:rsidR="00B45E56" w:rsidRDefault="000F5140">
            <w:pPr>
              <w:rPr>
                <w:rFonts w:ascii="Arial" w:hAnsi="Arial" w:cs="Arial"/>
                <w:sz w:val="20"/>
                <w:szCs w:val="20"/>
              </w:rPr>
            </w:pPr>
            <w:r>
              <w:rPr>
                <w:rFonts w:ascii="Arial" w:hAnsi="Arial" w:cs="Arial"/>
                <w:sz w:val="20"/>
                <w:szCs w:val="20"/>
              </w:rPr>
              <w:t xml:space="preserve">87.95 </w:t>
            </w:r>
            <w:r>
              <w:rPr>
                <w:rFonts w:ascii="Arial" w:hAnsi="Arial" w:cs="Arial"/>
                <w:sz w:val="20"/>
                <w:szCs w:val="20"/>
              </w:rPr>
              <w:sym w:font="Symbol" w:char="F0B1"/>
            </w:r>
            <w:r>
              <w:rPr>
                <w:rFonts w:ascii="Arial" w:hAnsi="Arial" w:cs="Arial"/>
                <w:sz w:val="20"/>
                <w:szCs w:val="20"/>
              </w:rPr>
              <w:t xml:space="preserve"> 7.98</w:t>
            </w:r>
          </w:p>
        </w:tc>
      </w:tr>
      <w:tr w:rsidR="00B45E56">
        <w:tc>
          <w:tcPr>
            <w:tcW w:w="1526" w:type="dxa"/>
          </w:tcPr>
          <w:p w:rsidR="00B45E56" w:rsidRDefault="000F5140">
            <w:pPr>
              <w:rPr>
                <w:rFonts w:ascii="Arial" w:hAnsi="Arial" w:cs="Arial"/>
                <w:sz w:val="20"/>
                <w:szCs w:val="20"/>
              </w:rPr>
            </w:pPr>
            <w:r>
              <w:rPr>
                <w:rFonts w:ascii="Arial" w:hAnsi="Arial" w:cs="Arial"/>
                <w:sz w:val="20"/>
                <w:szCs w:val="20"/>
              </w:rPr>
              <w:t>.1</w:t>
            </w:r>
          </w:p>
        </w:tc>
        <w:tc>
          <w:tcPr>
            <w:tcW w:w="1324" w:type="dxa"/>
          </w:tcPr>
          <w:p w:rsidR="00B45E56" w:rsidRDefault="000F5140">
            <w:pPr>
              <w:rPr>
                <w:rFonts w:ascii="Arial" w:hAnsi="Arial" w:cs="Arial"/>
                <w:sz w:val="20"/>
                <w:szCs w:val="20"/>
              </w:rPr>
            </w:pPr>
            <w:r>
              <w:rPr>
                <w:rFonts w:ascii="Arial" w:hAnsi="Arial" w:cs="Arial"/>
                <w:sz w:val="20"/>
                <w:szCs w:val="20"/>
              </w:rPr>
              <w:t>98.85</w:t>
            </w:r>
            <w:r>
              <w:rPr>
                <w:rFonts w:ascii="Arial" w:hAnsi="Arial" w:cs="Arial"/>
                <w:sz w:val="20"/>
                <w:szCs w:val="20"/>
              </w:rPr>
              <w:sym w:font="Symbol" w:char="F0B1"/>
            </w:r>
            <w:r>
              <w:rPr>
                <w:rFonts w:ascii="Arial" w:hAnsi="Arial" w:cs="Arial"/>
                <w:sz w:val="20"/>
                <w:szCs w:val="20"/>
              </w:rPr>
              <w:t>1.57</w:t>
            </w:r>
          </w:p>
        </w:tc>
        <w:tc>
          <w:tcPr>
            <w:tcW w:w="1749" w:type="dxa"/>
          </w:tcPr>
          <w:p w:rsidR="00B45E56" w:rsidRDefault="000F5140">
            <w:pPr>
              <w:rPr>
                <w:rFonts w:ascii="Arial" w:hAnsi="Arial" w:cs="Arial"/>
                <w:sz w:val="20"/>
                <w:szCs w:val="20"/>
              </w:rPr>
            </w:pPr>
            <w:r>
              <w:rPr>
                <w:rFonts w:ascii="Arial" w:hAnsi="Arial" w:cs="Arial"/>
                <w:sz w:val="20"/>
                <w:szCs w:val="20"/>
              </w:rPr>
              <w:t xml:space="preserve">90.94 </w:t>
            </w:r>
            <w:r>
              <w:rPr>
                <w:rFonts w:ascii="Arial" w:hAnsi="Arial" w:cs="Arial"/>
                <w:sz w:val="20"/>
                <w:szCs w:val="20"/>
              </w:rPr>
              <w:sym w:font="Symbol" w:char="F0B1"/>
            </w:r>
            <w:r>
              <w:rPr>
                <w:rFonts w:ascii="Arial" w:hAnsi="Arial" w:cs="Arial"/>
                <w:sz w:val="20"/>
                <w:szCs w:val="20"/>
              </w:rPr>
              <w:t xml:space="preserve"> 5.67</w:t>
            </w:r>
          </w:p>
        </w:tc>
        <w:tc>
          <w:tcPr>
            <w:tcW w:w="1851" w:type="dxa"/>
            <w:gridSpan w:val="2"/>
          </w:tcPr>
          <w:p w:rsidR="00B45E56" w:rsidRDefault="000F5140">
            <w:pPr>
              <w:rPr>
                <w:rFonts w:ascii="Arial" w:hAnsi="Arial" w:cs="Arial"/>
                <w:sz w:val="20"/>
                <w:szCs w:val="20"/>
              </w:rPr>
            </w:pPr>
            <w:r>
              <w:rPr>
                <w:rFonts w:ascii="Arial" w:hAnsi="Arial" w:cs="Arial"/>
                <w:sz w:val="20"/>
                <w:szCs w:val="20"/>
              </w:rPr>
              <w:t>93.87</w:t>
            </w:r>
            <w:r>
              <w:rPr>
                <w:rFonts w:ascii="Arial" w:hAnsi="Arial" w:cs="Arial"/>
                <w:sz w:val="20"/>
                <w:szCs w:val="20"/>
              </w:rPr>
              <w:sym w:font="Symbol" w:char="F0B1"/>
            </w:r>
            <w:r>
              <w:rPr>
                <w:rFonts w:ascii="Arial" w:hAnsi="Arial" w:cs="Arial"/>
                <w:sz w:val="20"/>
                <w:szCs w:val="20"/>
              </w:rPr>
              <w:t>4.53</w:t>
            </w:r>
          </w:p>
        </w:tc>
        <w:tc>
          <w:tcPr>
            <w:tcW w:w="1789" w:type="dxa"/>
          </w:tcPr>
          <w:p w:rsidR="00B45E56" w:rsidRDefault="000F5140">
            <w:pPr>
              <w:rPr>
                <w:rFonts w:ascii="Arial" w:hAnsi="Arial" w:cs="Arial"/>
                <w:sz w:val="20"/>
                <w:szCs w:val="20"/>
              </w:rPr>
            </w:pPr>
            <w:r>
              <w:rPr>
                <w:rFonts w:ascii="Arial" w:hAnsi="Arial" w:cs="Arial"/>
                <w:sz w:val="20"/>
                <w:szCs w:val="20"/>
              </w:rPr>
              <w:t>91.87</w:t>
            </w:r>
            <w:r>
              <w:rPr>
                <w:rFonts w:ascii="Arial" w:hAnsi="Arial" w:cs="Arial"/>
                <w:sz w:val="20"/>
                <w:szCs w:val="20"/>
              </w:rPr>
              <w:sym w:font="Symbol" w:char="F0B1"/>
            </w:r>
            <w:r>
              <w:rPr>
                <w:rFonts w:ascii="Arial" w:hAnsi="Arial" w:cs="Arial"/>
                <w:sz w:val="20"/>
                <w:szCs w:val="20"/>
              </w:rPr>
              <w:t>4.95</w:t>
            </w:r>
          </w:p>
        </w:tc>
        <w:tc>
          <w:tcPr>
            <w:tcW w:w="1769" w:type="dxa"/>
          </w:tcPr>
          <w:p w:rsidR="00B45E56" w:rsidRDefault="000F5140">
            <w:pPr>
              <w:rPr>
                <w:rFonts w:ascii="Arial" w:hAnsi="Arial" w:cs="Arial"/>
                <w:sz w:val="20"/>
                <w:szCs w:val="20"/>
              </w:rPr>
            </w:pPr>
            <w:r>
              <w:rPr>
                <w:rFonts w:ascii="Arial" w:hAnsi="Arial" w:cs="Arial"/>
                <w:sz w:val="20"/>
                <w:szCs w:val="20"/>
              </w:rPr>
              <w:t xml:space="preserve">90.65 </w:t>
            </w:r>
            <w:r>
              <w:rPr>
                <w:rFonts w:ascii="Arial" w:hAnsi="Arial" w:cs="Arial"/>
                <w:sz w:val="20"/>
                <w:szCs w:val="20"/>
              </w:rPr>
              <w:sym w:font="Symbol" w:char="F0B1"/>
            </w:r>
            <w:r>
              <w:rPr>
                <w:rFonts w:ascii="Arial" w:hAnsi="Arial" w:cs="Arial"/>
                <w:sz w:val="20"/>
                <w:szCs w:val="20"/>
              </w:rPr>
              <w:t>6.75</w:t>
            </w:r>
          </w:p>
        </w:tc>
      </w:tr>
      <w:tr w:rsidR="00B45E56">
        <w:tc>
          <w:tcPr>
            <w:tcW w:w="1526" w:type="dxa"/>
          </w:tcPr>
          <w:p w:rsidR="00B45E56" w:rsidRDefault="000F5140">
            <w:pPr>
              <w:rPr>
                <w:rFonts w:ascii="Arial" w:hAnsi="Arial" w:cs="Arial"/>
                <w:sz w:val="20"/>
                <w:szCs w:val="20"/>
              </w:rPr>
            </w:pPr>
            <w:r>
              <w:rPr>
                <w:rFonts w:ascii="Arial" w:hAnsi="Arial" w:cs="Arial"/>
                <w:sz w:val="20"/>
                <w:szCs w:val="20"/>
              </w:rPr>
              <w:t>.01</w:t>
            </w:r>
          </w:p>
        </w:tc>
        <w:tc>
          <w:tcPr>
            <w:tcW w:w="1324" w:type="dxa"/>
          </w:tcPr>
          <w:p w:rsidR="00B45E56" w:rsidRDefault="000F5140">
            <w:pPr>
              <w:rPr>
                <w:rFonts w:ascii="Arial" w:hAnsi="Arial" w:cs="Arial"/>
                <w:sz w:val="20"/>
                <w:szCs w:val="20"/>
              </w:rPr>
            </w:pPr>
            <w:r>
              <w:rPr>
                <w:rFonts w:ascii="Arial" w:hAnsi="Arial" w:cs="Arial"/>
                <w:sz w:val="20"/>
                <w:szCs w:val="20"/>
              </w:rPr>
              <w:t xml:space="preserve">99.4 </w:t>
            </w:r>
            <w:r>
              <w:rPr>
                <w:rFonts w:ascii="Arial" w:hAnsi="Arial" w:cs="Arial"/>
                <w:sz w:val="20"/>
                <w:szCs w:val="20"/>
              </w:rPr>
              <w:sym w:font="Symbol" w:char="F0B1"/>
            </w:r>
            <w:r>
              <w:rPr>
                <w:rFonts w:ascii="Arial" w:hAnsi="Arial" w:cs="Arial"/>
                <w:sz w:val="20"/>
                <w:szCs w:val="20"/>
              </w:rPr>
              <w:t xml:space="preserve"> 0.6</w:t>
            </w:r>
          </w:p>
        </w:tc>
        <w:tc>
          <w:tcPr>
            <w:tcW w:w="1749" w:type="dxa"/>
          </w:tcPr>
          <w:p w:rsidR="00B45E56" w:rsidRDefault="000F5140">
            <w:pPr>
              <w:rPr>
                <w:rFonts w:ascii="Arial" w:hAnsi="Arial" w:cs="Arial"/>
                <w:sz w:val="20"/>
                <w:szCs w:val="20"/>
              </w:rPr>
            </w:pPr>
            <w:r>
              <w:rPr>
                <w:rFonts w:ascii="Arial" w:hAnsi="Arial" w:cs="Arial"/>
                <w:sz w:val="20"/>
                <w:szCs w:val="20"/>
              </w:rPr>
              <w:t xml:space="preserve">99.1 </w:t>
            </w:r>
            <w:r>
              <w:rPr>
                <w:rFonts w:ascii="Arial" w:hAnsi="Arial" w:cs="Arial"/>
                <w:sz w:val="20"/>
                <w:szCs w:val="20"/>
              </w:rPr>
              <w:sym w:font="Symbol" w:char="F0B1"/>
            </w:r>
            <w:r>
              <w:rPr>
                <w:rFonts w:ascii="Arial" w:hAnsi="Arial" w:cs="Arial"/>
                <w:sz w:val="20"/>
                <w:szCs w:val="20"/>
              </w:rPr>
              <w:t xml:space="preserve"> 0.47</w:t>
            </w:r>
          </w:p>
        </w:tc>
        <w:tc>
          <w:tcPr>
            <w:tcW w:w="1851" w:type="dxa"/>
            <w:gridSpan w:val="2"/>
          </w:tcPr>
          <w:p w:rsidR="00B45E56" w:rsidRDefault="000F5140">
            <w:pPr>
              <w:rPr>
                <w:rFonts w:ascii="Arial" w:hAnsi="Arial" w:cs="Arial"/>
                <w:sz w:val="20"/>
                <w:szCs w:val="20"/>
              </w:rPr>
            </w:pPr>
            <w:r>
              <w:rPr>
                <w:rFonts w:ascii="Arial" w:hAnsi="Arial" w:cs="Arial"/>
                <w:sz w:val="20"/>
                <w:szCs w:val="20"/>
              </w:rPr>
              <w:t>95.3</w:t>
            </w:r>
            <w:r>
              <w:rPr>
                <w:rFonts w:ascii="Arial" w:hAnsi="Arial" w:cs="Arial"/>
                <w:sz w:val="20"/>
                <w:szCs w:val="20"/>
              </w:rPr>
              <w:sym w:font="Symbol" w:char="F0B1"/>
            </w:r>
            <w:r>
              <w:rPr>
                <w:rFonts w:ascii="Arial" w:hAnsi="Arial" w:cs="Arial"/>
                <w:sz w:val="20"/>
                <w:szCs w:val="20"/>
              </w:rPr>
              <w:t>0.21</w:t>
            </w:r>
          </w:p>
        </w:tc>
        <w:tc>
          <w:tcPr>
            <w:tcW w:w="1789" w:type="dxa"/>
          </w:tcPr>
          <w:p w:rsidR="00B45E56" w:rsidRDefault="000F5140">
            <w:pPr>
              <w:rPr>
                <w:rFonts w:ascii="Arial" w:hAnsi="Arial" w:cs="Arial"/>
                <w:sz w:val="20"/>
                <w:szCs w:val="20"/>
              </w:rPr>
            </w:pPr>
            <w:r>
              <w:rPr>
                <w:rFonts w:ascii="Arial" w:hAnsi="Arial" w:cs="Arial"/>
                <w:sz w:val="20"/>
                <w:szCs w:val="20"/>
              </w:rPr>
              <w:t>96.32</w:t>
            </w:r>
            <w:r>
              <w:rPr>
                <w:rFonts w:ascii="Arial" w:hAnsi="Arial" w:cs="Arial"/>
                <w:sz w:val="20"/>
                <w:szCs w:val="20"/>
              </w:rPr>
              <w:sym w:font="Symbol" w:char="F0B1"/>
            </w:r>
            <w:r>
              <w:rPr>
                <w:rFonts w:ascii="Arial" w:hAnsi="Arial" w:cs="Arial"/>
                <w:sz w:val="20"/>
                <w:szCs w:val="20"/>
              </w:rPr>
              <w:t>.64</w:t>
            </w:r>
          </w:p>
        </w:tc>
        <w:tc>
          <w:tcPr>
            <w:tcW w:w="1769" w:type="dxa"/>
          </w:tcPr>
          <w:p w:rsidR="00B45E56" w:rsidRDefault="000F5140">
            <w:pPr>
              <w:rPr>
                <w:rFonts w:ascii="Arial" w:hAnsi="Arial" w:cs="Arial"/>
                <w:sz w:val="20"/>
                <w:szCs w:val="20"/>
              </w:rPr>
            </w:pPr>
            <w:r>
              <w:rPr>
                <w:rFonts w:ascii="Arial" w:hAnsi="Arial" w:cs="Arial"/>
                <w:sz w:val="20"/>
                <w:szCs w:val="20"/>
              </w:rPr>
              <w:t xml:space="preserve">92.65 </w:t>
            </w:r>
            <w:r>
              <w:rPr>
                <w:rFonts w:ascii="Arial" w:hAnsi="Arial" w:cs="Arial"/>
                <w:sz w:val="20"/>
                <w:szCs w:val="20"/>
              </w:rPr>
              <w:sym w:font="Symbol" w:char="F0B1"/>
            </w:r>
            <w:r>
              <w:rPr>
                <w:rFonts w:ascii="Arial" w:hAnsi="Arial" w:cs="Arial"/>
                <w:sz w:val="20"/>
                <w:szCs w:val="20"/>
              </w:rPr>
              <w:t xml:space="preserve"> 0.67</w:t>
            </w:r>
          </w:p>
        </w:tc>
      </w:tr>
      <w:tr w:rsidR="00B45E56">
        <w:tc>
          <w:tcPr>
            <w:tcW w:w="1526" w:type="dxa"/>
          </w:tcPr>
          <w:p w:rsidR="00B45E56" w:rsidRDefault="000F5140">
            <w:pPr>
              <w:rPr>
                <w:rFonts w:ascii="Arial" w:hAnsi="Arial" w:cs="Arial"/>
                <w:sz w:val="20"/>
                <w:szCs w:val="20"/>
              </w:rPr>
            </w:pPr>
            <w:r>
              <w:rPr>
                <w:rFonts w:ascii="Arial" w:hAnsi="Arial" w:cs="Arial"/>
                <w:sz w:val="20"/>
                <w:szCs w:val="20"/>
              </w:rPr>
              <w:t>.001</w:t>
            </w:r>
          </w:p>
        </w:tc>
        <w:tc>
          <w:tcPr>
            <w:tcW w:w="1324" w:type="dxa"/>
          </w:tcPr>
          <w:p w:rsidR="00B45E56" w:rsidRDefault="000F5140">
            <w:pPr>
              <w:rPr>
                <w:rFonts w:ascii="Arial" w:hAnsi="Arial" w:cs="Arial"/>
                <w:sz w:val="20"/>
                <w:szCs w:val="20"/>
              </w:rPr>
            </w:pPr>
            <w:r>
              <w:rPr>
                <w:rFonts w:ascii="Arial" w:hAnsi="Arial" w:cs="Arial"/>
                <w:sz w:val="20"/>
                <w:szCs w:val="20"/>
              </w:rPr>
              <w:t>100</w:t>
            </w:r>
          </w:p>
        </w:tc>
        <w:tc>
          <w:tcPr>
            <w:tcW w:w="1749" w:type="dxa"/>
          </w:tcPr>
          <w:p w:rsidR="00B45E56" w:rsidRDefault="000F5140">
            <w:pPr>
              <w:rPr>
                <w:rFonts w:ascii="Arial" w:hAnsi="Arial" w:cs="Arial"/>
                <w:sz w:val="20"/>
                <w:szCs w:val="20"/>
              </w:rPr>
            </w:pPr>
            <w:r>
              <w:rPr>
                <w:rFonts w:ascii="Arial" w:hAnsi="Arial" w:cs="Arial"/>
                <w:sz w:val="20"/>
                <w:szCs w:val="20"/>
              </w:rPr>
              <w:t>100</w:t>
            </w:r>
          </w:p>
        </w:tc>
        <w:tc>
          <w:tcPr>
            <w:tcW w:w="1851" w:type="dxa"/>
            <w:gridSpan w:val="2"/>
          </w:tcPr>
          <w:p w:rsidR="00B45E56" w:rsidRDefault="000F5140">
            <w:pPr>
              <w:rPr>
                <w:rFonts w:ascii="Arial" w:hAnsi="Arial" w:cs="Arial"/>
                <w:sz w:val="20"/>
                <w:szCs w:val="20"/>
              </w:rPr>
            </w:pPr>
            <w:r>
              <w:rPr>
                <w:rFonts w:ascii="Arial" w:hAnsi="Arial" w:cs="Arial"/>
                <w:sz w:val="20"/>
                <w:szCs w:val="20"/>
              </w:rPr>
              <w:t>100</w:t>
            </w:r>
          </w:p>
        </w:tc>
        <w:tc>
          <w:tcPr>
            <w:tcW w:w="1789" w:type="dxa"/>
          </w:tcPr>
          <w:p w:rsidR="00B45E56" w:rsidRDefault="000F5140">
            <w:pPr>
              <w:rPr>
                <w:rFonts w:ascii="Arial" w:hAnsi="Arial" w:cs="Arial"/>
                <w:sz w:val="20"/>
                <w:szCs w:val="20"/>
              </w:rPr>
            </w:pPr>
            <w:r>
              <w:rPr>
                <w:rFonts w:ascii="Arial" w:hAnsi="Arial" w:cs="Arial"/>
                <w:sz w:val="20"/>
                <w:szCs w:val="20"/>
              </w:rPr>
              <w:t>100</w:t>
            </w:r>
          </w:p>
        </w:tc>
        <w:tc>
          <w:tcPr>
            <w:tcW w:w="1769" w:type="dxa"/>
          </w:tcPr>
          <w:p w:rsidR="00B45E56" w:rsidRDefault="000F5140">
            <w:pPr>
              <w:rPr>
                <w:rFonts w:ascii="Arial" w:hAnsi="Arial" w:cs="Arial"/>
                <w:sz w:val="20"/>
                <w:szCs w:val="20"/>
              </w:rPr>
            </w:pPr>
            <w:r>
              <w:rPr>
                <w:rFonts w:ascii="Arial" w:hAnsi="Arial" w:cs="Arial"/>
                <w:sz w:val="20"/>
                <w:szCs w:val="20"/>
              </w:rPr>
              <w:t>100</w:t>
            </w:r>
          </w:p>
        </w:tc>
      </w:tr>
    </w:tbl>
    <w:p w:rsidR="00B45E56" w:rsidRDefault="00B45E56">
      <w:pPr>
        <w:rPr>
          <w:rFonts w:ascii="Arial" w:hAnsi="Arial" w:cs="Arial"/>
          <w:sz w:val="20"/>
          <w:szCs w:val="20"/>
        </w:rPr>
      </w:pPr>
    </w:p>
    <w:p w:rsidR="00B45E56" w:rsidRDefault="000F5140">
      <w:pPr>
        <w:rPr>
          <w:rFonts w:ascii="Arial" w:hAnsi="Arial" w:cs="Arial"/>
          <w:sz w:val="20"/>
          <w:szCs w:val="20"/>
        </w:rPr>
      </w:pPr>
      <w:r>
        <w:rPr>
          <w:rFonts w:ascii="Arial" w:hAnsi="Arial" w:cs="Arial"/>
          <w:sz w:val="20"/>
          <w:szCs w:val="20"/>
        </w:rPr>
        <w:t xml:space="preserve"> *The mean is the average of cells survivability of 16 well.</w:t>
      </w:r>
    </w:p>
    <w:p w:rsidR="00B45E56" w:rsidRDefault="00B45E56">
      <w:pPr>
        <w:rPr>
          <w:rFonts w:ascii="Arial" w:hAnsi="Arial" w:cs="Arial"/>
          <w:sz w:val="20"/>
          <w:szCs w:val="20"/>
        </w:rPr>
      </w:pPr>
    </w:p>
    <w:p w:rsidR="00B45E56" w:rsidRDefault="00B45E56">
      <w:pPr>
        <w:rPr>
          <w:rFonts w:ascii="Arial" w:hAnsi="Arial" w:cs="Arial"/>
          <w:sz w:val="20"/>
          <w:szCs w:val="20"/>
        </w:rPr>
      </w:pPr>
    </w:p>
    <w:p w:rsidR="00B45E56" w:rsidRDefault="000F5140">
      <w:pPr>
        <w:pStyle w:val="Title"/>
        <w:rPr>
          <w:rFonts w:ascii="Arial" w:hAnsi="Arial" w:cs="Arial"/>
          <w:sz w:val="20"/>
          <w:szCs w:val="20"/>
        </w:rPr>
      </w:pPr>
      <w:r>
        <w:rPr>
          <w:rFonts w:ascii="Arial" w:hAnsi="Arial" w:cs="Arial"/>
          <w:sz w:val="20"/>
          <w:szCs w:val="20"/>
        </w:rPr>
        <w:t>DISCUSSION</w:t>
      </w:r>
    </w:p>
    <w:p w:rsidR="00B45E56" w:rsidRDefault="00B45E56">
      <w:pPr>
        <w:pStyle w:val="Title"/>
        <w:rPr>
          <w:rFonts w:ascii="Arial" w:hAnsi="Arial" w:cs="Arial"/>
          <w:b w:val="0"/>
          <w:bCs w:val="0"/>
          <w:sz w:val="20"/>
          <w:szCs w:val="20"/>
        </w:rPr>
      </w:pPr>
    </w:p>
    <w:p w:rsidR="00B45E56" w:rsidRDefault="000F5140">
      <w:pPr>
        <w:jc w:val="both"/>
        <w:rPr>
          <w:rFonts w:ascii="Arial" w:hAnsi="Arial" w:cs="Arial"/>
          <w:sz w:val="20"/>
          <w:szCs w:val="20"/>
        </w:rPr>
      </w:pPr>
      <w:r>
        <w:rPr>
          <w:rFonts w:ascii="Arial" w:hAnsi="Arial" w:cs="Arial"/>
          <w:sz w:val="20"/>
          <w:szCs w:val="20"/>
        </w:rPr>
        <w:tab/>
        <w:t xml:space="preserve">The use of cell cultures for studying the effect of different insecticides instead of intact larvae provides several advantages, including reduced time, cost for experimentation, and absence of obscuring enzyme systems typically present in insects and a homogenous cell population lowering the strict measurement of insecticides effects. The cytotoxicity testes indicated that the </w:t>
      </w:r>
      <w:r>
        <w:rPr>
          <w:rFonts w:ascii="Arial" w:hAnsi="Arial" w:cs="Arial"/>
          <w:i/>
          <w:iCs/>
          <w:sz w:val="20"/>
          <w:szCs w:val="20"/>
        </w:rPr>
        <w:t>S. furgipedra</w:t>
      </w:r>
      <w:r>
        <w:rPr>
          <w:rFonts w:ascii="Arial" w:hAnsi="Arial" w:cs="Arial"/>
          <w:sz w:val="20"/>
          <w:szCs w:val="20"/>
        </w:rPr>
        <w:t xml:space="preserve"> SF9 cell line is quit susceptible to the photodynamic effect of both Hematoporphyrin IX and B-phenylpyruvic acid as measured by MTT assay. The reactive oxygen is greatly affected the cells as the concentration increases resulted in cells apoptosis (cell death).</w:t>
      </w:r>
    </w:p>
    <w:p w:rsidR="00B45E56" w:rsidRDefault="000F5140">
      <w:pPr>
        <w:ind w:firstLine="720"/>
        <w:jc w:val="both"/>
        <w:rPr>
          <w:rFonts w:ascii="Arial" w:hAnsi="Arial" w:cs="Arial"/>
          <w:sz w:val="20"/>
          <w:szCs w:val="20"/>
        </w:rPr>
      </w:pPr>
      <w:r>
        <w:rPr>
          <w:rFonts w:ascii="Arial" w:hAnsi="Arial" w:cs="Arial"/>
          <w:sz w:val="20"/>
          <w:szCs w:val="20"/>
        </w:rPr>
        <w:t xml:space="preserve">The results indicated that the use of </w:t>
      </w:r>
      <w:r>
        <w:rPr>
          <w:rFonts w:ascii="Arial" w:hAnsi="Arial" w:cs="Arial"/>
          <w:i/>
          <w:iCs/>
          <w:sz w:val="20"/>
          <w:szCs w:val="20"/>
        </w:rPr>
        <w:t>S. furgipedra</w:t>
      </w:r>
      <w:r>
        <w:rPr>
          <w:rFonts w:ascii="Arial" w:hAnsi="Arial" w:cs="Arial"/>
          <w:sz w:val="20"/>
          <w:szCs w:val="20"/>
        </w:rPr>
        <w:t xml:space="preserve"> SF9 cell line is a good model for studying the susceptibility of this insect cell to the tested Photosensitizer. This finding agrees well with, Hasain </w:t>
      </w:r>
      <w:r>
        <w:rPr>
          <w:rFonts w:ascii="Arial" w:hAnsi="Arial" w:cs="Arial"/>
          <w:i/>
          <w:iCs/>
          <w:sz w:val="20"/>
          <w:szCs w:val="20"/>
        </w:rPr>
        <w:t>et al.</w:t>
      </w:r>
      <w:r>
        <w:rPr>
          <w:rFonts w:ascii="Arial" w:hAnsi="Arial" w:cs="Arial"/>
          <w:sz w:val="20"/>
          <w:szCs w:val="20"/>
        </w:rPr>
        <w:t xml:space="preserve"> (1999) who reported that the cellular imbalance in the levels of antioxidants and reactive oxygen species (ROS) is directly associated with a number of pathological states and results in programmed cell death or apoptosis. They demonstrated that the use of in vitro cultured </w:t>
      </w:r>
      <w:r>
        <w:rPr>
          <w:rFonts w:ascii="Arial" w:hAnsi="Arial" w:cs="Arial"/>
          <w:i/>
          <w:iCs/>
          <w:sz w:val="20"/>
          <w:szCs w:val="20"/>
        </w:rPr>
        <w:t>S. furgipedra</w:t>
      </w:r>
      <w:r>
        <w:rPr>
          <w:rFonts w:ascii="Arial" w:hAnsi="Arial" w:cs="Arial"/>
          <w:sz w:val="20"/>
          <w:szCs w:val="20"/>
        </w:rPr>
        <w:t xml:space="preserve"> SF9 insect cells as a model to study oxidative stress induced programmed cell death. They added that apoptosis of in vitro cultured SF9 cells were induced by the exogenous treatment of H</w:t>
      </w:r>
      <w:r>
        <w:rPr>
          <w:rFonts w:ascii="Arial" w:hAnsi="Arial" w:cs="Arial"/>
          <w:sz w:val="20"/>
          <w:szCs w:val="20"/>
          <w:vertAlign w:val="subscript"/>
        </w:rPr>
        <w:t>2</w:t>
      </w:r>
      <w:r>
        <w:rPr>
          <w:rFonts w:ascii="Arial" w:hAnsi="Arial" w:cs="Arial"/>
          <w:sz w:val="20"/>
          <w:szCs w:val="20"/>
        </w:rPr>
        <w:t>O</w:t>
      </w:r>
      <w:r>
        <w:rPr>
          <w:rFonts w:ascii="Arial" w:hAnsi="Arial" w:cs="Arial"/>
          <w:sz w:val="20"/>
          <w:szCs w:val="20"/>
          <w:vertAlign w:val="subscript"/>
        </w:rPr>
        <w:t>2</w:t>
      </w:r>
      <w:r>
        <w:rPr>
          <w:rFonts w:ascii="Arial" w:hAnsi="Arial" w:cs="Arial"/>
          <w:sz w:val="20"/>
          <w:szCs w:val="20"/>
        </w:rPr>
        <w:t xml:space="preserve"> to cells growing in culture. The AD50 (concentration of H</w:t>
      </w:r>
      <w:r>
        <w:rPr>
          <w:rFonts w:ascii="Arial" w:hAnsi="Arial" w:cs="Arial"/>
          <w:sz w:val="20"/>
          <w:szCs w:val="20"/>
          <w:vertAlign w:val="subscript"/>
        </w:rPr>
        <w:t>2</w:t>
      </w:r>
      <w:r>
        <w:rPr>
          <w:rFonts w:ascii="Arial" w:hAnsi="Arial" w:cs="Arial"/>
          <w:sz w:val="20"/>
          <w:szCs w:val="20"/>
        </w:rPr>
        <w:t>O</w:t>
      </w:r>
      <w:r>
        <w:rPr>
          <w:rFonts w:ascii="Arial" w:hAnsi="Arial" w:cs="Arial"/>
          <w:sz w:val="20"/>
          <w:szCs w:val="20"/>
          <w:vertAlign w:val="subscript"/>
        </w:rPr>
        <w:t>2</w:t>
      </w:r>
      <w:r>
        <w:rPr>
          <w:rFonts w:ascii="Arial" w:hAnsi="Arial" w:cs="Arial"/>
          <w:sz w:val="20"/>
          <w:szCs w:val="20"/>
        </w:rPr>
        <w:t xml:space="preserve"> inducing about 50% apoptotic response) varied with the duration of treatment, batch-to-batch variation of H</w:t>
      </w:r>
      <w:r>
        <w:rPr>
          <w:rFonts w:ascii="Arial" w:hAnsi="Arial" w:cs="Arial"/>
          <w:sz w:val="20"/>
          <w:szCs w:val="20"/>
          <w:vertAlign w:val="subscript"/>
        </w:rPr>
        <w:t>2</w:t>
      </w:r>
      <w:r>
        <w:rPr>
          <w:rFonts w:ascii="Arial" w:hAnsi="Arial" w:cs="Arial"/>
          <w:sz w:val="20"/>
          <w:szCs w:val="20"/>
        </w:rPr>
        <w:t>O</w:t>
      </w:r>
      <w:r>
        <w:rPr>
          <w:rFonts w:ascii="Arial" w:hAnsi="Arial" w:cs="Arial"/>
          <w:sz w:val="20"/>
          <w:szCs w:val="20"/>
          <w:vertAlign w:val="subscript"/>
        </w:rPr>
        <w:t>2</w:t>
      </w:r>
      <w:r>
        <w:rPr>
          <w:rFonts w:ascii="Arial" w:hAnsi="Arial" w:cs="Arial"/>
          <w:sz w:val="20"/>
          <w:szCs w:val="20"/>
        </w:rPr>
        <w:t xml:space="preserve"> and the physiological state of cells. Also Kwa, </w:t>
      </w:r>
      <w:r>
        <w:rPr>
          <w:rFonts w:ascii="Arial" w:hAnsi="Arial" w:cs="Arial"/>
          <w:i/>
          <w:iCs/>
          <w:sz w:val="20"/>
          <w:szCs w:val="20"/>
        </w:rPr>
        <w:t>et a.l</w:t>
      </w:r>
      <w:r>
        <w:rPr>
          <w:rFonts w:ascii="Arial" w:hAnsi="Arial" w:cs="Arial"/>
          <w:sz w:val="20"/>
          <w:szCs w:val="20"/>
        </w:rPr>
        <w:t xml:space="preserve"> (1998) concluded that the </w:t>
      </w:r>
      <w:r>
        <w:rPr>
          <w:rFonts w:ascii="Arial" w:hAnsi="Arial" w:cs="Arial"/>
          <w:i/>
          <w:iCs/>
          <w:sz w:val="20"/>
          <w:szCs w:val="20"/>
        </w:rPr>
        <w:t>S. furgipedra</w:t>
      </w:r>
      <w:r>
        <w:rPr>
          <w:rFonts w:ascii="Arial" w:hAnsi="Arial" w:cs="Arial"/>
          <w:sz w:val="20"/>
          <w:szCs w:val="20"/>
        </w:rPr>
        <w:t xml:space="preserve"> SF9 insect cell line was most sensitive cell line towards the effect of the</w:t>
      </w:r>
      <w:r>
        <w:rPr>
          <w:rFonts w:ascii="Arial" w:hAnsi="Arial" w:cs="Arial"/>
          <w:i/>
          <w:iCs/>
          <w:sz w:val="20"/>
          <w:szCs w:val="20"/>
        </w:rPr>
        <w:t xml:space="preserve"> Bacillus thuringiensis </w:t>
      </w:r>
      <w:r>
        <w:rPr>
          <w:rFonts w:ascii="Arial" w:hAnsi="Arial" w:cs="Arial"/>
          <w:sz w:val="20"/>
          <w:szCs w:val="20"/>
        </w:rPr>
        <w:t>delta-endotoxin Cry1C to cultured insect by means of toxicity assays.</w:t>
      </w:r>
    </w:p>
    <w:p w:rsidR="00B45E56" w:rsidRDefault="000F5140">
      <w:pPr>
        <w:ind w:firstLine="720"/>
        <w:jc w:val="both"/>
        <w:rPr>
          <w:rFonts w:ascii="Arial" w:hAnsi="Arial" w:cs="Arial"/>
          <w:sz w:val="20"/>
          <w:szCs w:val="20"/>
        </w:rPr>
      </w:pPr>
      <w:r>
        <w:rPr>
          <w:rFonts w:ascii="Arial" w:hAnsi="Arial" w:cs="Arial"/>
          <w:sz w:val="20"/>
          <w:szCs w:val="20"/>
        </w:rPr>
        <w:t xml:space="preserve"> The present results indicated that Hematoporphyrin IX and B-Phenylpyruvic acid were very highly toxic to the tested </w:t>
      </w:r>
      <w:r>
        <w:rPr>
          <w:rFonts w:ascii="Arial" w:hAnsi="Arial" w:cs="Arial"/>
          <w:i/>
          <w:iCs/>
          <w:sz w:val="20"/>
          <w:szCs w:val="20"/>
        </w:rPr>
        <w:t>S. furgipedra</w:t>
      </w:r>
      <w:r>
        <w:rPr>
          <w:rFonts w:ascii="Arial" w:hAnsi="Arial" w:cs="Arial"/>
          <w:sz w:val="20"/>
          <w:szCs w:val="20"/>
        </w:rPr>
        <w:t xml:space="preserve"> SF9 cell line as a photoinsecticide. These results confirm the findings of Jori and Spikes (1983). They concluded that the rapid insecticidal action of Hematoporphyrin could be correlated with its mode of photo inducing irreversible damage to biological systems. Our results agree will with, Ben Amor </w:t>
      </w:r>
      <w:r>
        <w:rPr>
          <w:rFonts w:ascii="Arial" w:hAnsi="Arial" w:cs="Arial"/>
          <w:i/>
          <w:iCs/>
          <w:sz w:val="20"/>
          <w:szCs w:val="20"/>
        </w:rPr>
        <w:t>et al</w:t>
      </w:r>
      <w:r>
        <w:rPr>
          <w:rFonts w:ascii="Arial" w:hAnsi="Arial" w:cs="Arial"/>
          <w:sz w:val="20"/>
          <w:szCs w:val="20"/>
        </w:rPr>
        <w:t xml:space="preserve">.  (1998). They pointed out that Porphyrins may represent a class of useful photoinsecticidal agents in particular, Hematoporphyrin appeared to be very active against at least two fly species, namely </w:t>
      </w:r>
      <w:r>
        <w:rPr>
          <w:rFonts w:ascii="Arial" w:hAnsi="Arial" w:cs="Arial"/>
          <w:i/>
          <w:iCs/>
          <w:sz w:val="20"/>
          <w:szCs w:val="20"/>
        </w:rPr>
        <w:t>Ceratitis capitata</w:t>
      </w:r>
      <w:r>
        <w:rPr>
          <w:rFonts w:ascii="Arial" w:hAnsi="Arial" w:cs="Arial"/>
          <w:sz w:val="20"/>
          <w:szCs w:val="20"/>
        </w:rPr>
        <w:t xml:space="preserve"> and </w:t>
      </w:r>
      <w:r>
        <w:rPr>
          <w:rFonts w:ascii="Arial" w:hAnsi="Arial" w:cs="Arial"/>
          <w:i/>
          <w:iCs/>
          <w:sz w:val="20"/>
          <w:szCs w:val="20"/>
        </w:rPr>
        <w:t>Bactrocera oleae</w:t>
      </w:r>
      <w:r>
        <w:rPr>
          <w:rFonts w:ascii="Arial" w:hAnsi="Arial" w:cs="Arial"/>
          <w:sz w:val="20"/>
          <w:szCs w:val="20"/>
        </w:rPr>
        <w:t xml:space="preserve"> which are known to induce severe damage in various agricultural areas worldwide.</w:t>
      </w:r>
    </w:p>
    <w:p w:rsidR="00B45E56" w:rsidRDefault="000F5140">
      <w:pPr>
        <w:ind w:firstLine="720"/>
        <w:jc w:val="both"/>
        <w:rPr>
          <w:rFonts w:ascii="Arial" w:hAnsi="Arial" w:cs="Arial"/>
          <w:sz w:val="20"/>
          <w:szCs w:val="20"/>
        </w:rPr>
      </w:pPr>
      <w:r>
        <w:rPr>
          <w:rFonts w:ascii="Arial" w:hAnsi="Arial" w:cs="Arial"/>
          <w:sz w:val="20"/>
          <w:szCs w:val="20"/>
        </w:rPr>
        <w:t xml:space="preserve"> The results indicated that the photoinsecticidal activity depends on the dose used as indicated by the LC</w:t>
      </w:r>
      <w:r>
        <w:rPr>
          <w:rFonts w:ascii="Arial" w:hAnsi="Arial" w:cs="Arial"/>
          <w:sz w:val="20"/>
          <w:szCs w:val="20"/>
          <w:vertAlign w:val="subscript"/>
        </w:rPr>
        <w:t xml:space="preserve">50 </w:t>
      </w:r>
      <w:r>
        <w:rPr>
          <w:rFonts w:ascii="Arial" w:hAnsi="Arial" w:cs="Arial"/>
          <w:sz w:val="20"/>
          <w:szCs w:val="20"/>
        </w:rPr>
        <w:t xml:space="preserve">`s of Hematoporphyrin IX and B-Phenylpyruvic acid (.15 mM/ml &amp;. 35 mM/ml) respectively. However, our results indicated also that the L-tryptophan, Mandelic acid, Histidine and L-b-phenyllactic acid have weak photodynamic effect in comparison with Hematoporphyrin IX and B-Phenylpyruvic acid, even with high concentrations. Our results confirmed this phenomenon because    on increasing the concentration the solution become more turbid restricting the UV light to act well in inducing the photodynamic effect to the treated cells. This finding was found to be in agreement with He Liming, et al (1997), in their test for comparing the photodynamic effect of 49 single laser photosensitizers on the SW1116 cell line of human colorectal cancer and K562 cell line of erythroleukemiwith MTT assay. They concluded the effectiveness of 16 single Photosensitizer from 49 one to be used in photodynamic killing of human cancer cell lines in </w:t>
      </w:r>
      <w:r>
        <w:rPr>
          <w:rFonts w:ascii="Arial" w:hAnsi="Arial" w:cs="Arial"/>
          <w:i/>
          <w:iCs/>
          <w:sz w:val="20"/>
          <w:szCs w:val="20"/>
        </w:rPr>
        <w:t>vitro</w:t>
      </w:r>
      <w:r>
        <w:rPr>
          <w:rFonts w:ascii="Arial" w:hAnsi="Arial" w:cs="Arial"/>
          <w:sz w:val="20"/>
          <w:szCs w:val="20"/>
        </w:rPr>
        <w:t>.</w:t>
      </w:r>
    </w:p>
    <w:p w:rsidR="00B45E56" w:rsidRDefault="000F5140">
      <w:pPr>
        <w:ind w:firstLine="720"/>
        <w:rPr>
          <w:rFonts w:ascii="Arial" w:hAnsi="Arial" w:cs="Arial"/>
          <w:sz w:val="20"/>
          <w:szCs w:val="20"/>
        </w:rPr>
      </w:pPr>
      <w:r>
        <w:rPr>
          <w:rFonts w:ascii="Arial" w:hAnsi="Arial" w:cs="Arial"/>
          <w:sz w:val="20"/>
          <w:szCs w:val="20"/>
        </w:rPr>
        <w:t xml:space="preserve">The results confirmed the efficiency of both B-Phenylpyruvic acid and   Hematoporphyrin IX as a photoinsecticide against </w:t>
      </w:r>
      <w:r>
        <w:rPr>
          <w:rFonts w:ascii="Arial" w:hAnsi="Arial" w:cs="Arial"/>
          <w:i/>
          <w:iCs/>
          <w:sz w:val="20"/>
          <w:szCs w:val="20"/>
        </w:rPr>
        <w:t>S furgipedra</w:t>
      </w:r>
      <w:r>
        <w:rPr>
          <w:rFonts w:ascii="Arial" w:hAnsi="Arial" w:cs="Arial"/>
          <w:sz w:val="20"/>
          <w:szCs w:val="20"/>
        </w:rPr>
        <w:t xml:space="preserve">. Thus it may recommend the usage of the tested toxicants in control management strategy to reduce costs and pesticide impact in the environments. </w:t>
      </w:r>
    </w:p>
    <w:p w:rsidR="00B45E56" w:rsidRDefault="00B45E56">
      <w:pPr>
        <w:jc w:val="both"/>
        <w:rPr>
          <w:rFonts w:ascii="Arial" w:hAnsi="Arial" w:cs="Arial"/>
          <w:sz w:val="20"/>
          <w:szCs w:val="20"/>
        </w:rPr>
      </w:pPr>
    </w:p>
    <w:p w:rsidR="00B45E56" w:rsidRDefault="00B45E56">
      <w:pPr>
        <w:jc w:val="both"/>
        <w:rPr>
          <w:rFonts w:ascii="Arial" w:hAnsi="Arial" w:cs="Arial"/>
          <w:b/>
          <w:bCs/>
          <w:sz w:val="20"/>
          <w:szCs w:val="20"/>
        </w:rPr>
      </w:pPr>
    </w:p>
    <w:p w:rsidR="00B45E56" w:rsidRDefault="000F5140">
      <w:pPr>
        <w:pStyle w:val="Heading1"/>
        <w:jc w:val="center"/>
        <w:rPr>
          <w:rFonts w:ascii="Arial" w:hAnsi="Arial" w:cs="Arial"/>
          <w:sz w:val="20"/>
          <w:szCs w:val="20"/>
        </w:rPr>
      </w:pPr>
      <w:r>
        <w:rPr>
          <w:rFonts w:ascii="Arial" w:hAnsi="Arial" w:cs="Arial"/>
          <w:b/>
          <w:bCs/>
          <w:sz w:val="20"/>
          <w:szCs w:val="20"/>
        </w:rPr>
        <w:lastRenderedPageBreak/>
        <w:t>ACKNOWLEDGEMENTS</w:t>
      </w:r>
    </w:p>
    <w:p w:rsidR="00B45E56" w:rsidRDefault="000F5140">
      <w:pPr>
        <w:ind w:firstLine="720"/>
        <w:jc w:val="both"/>
        <w:rPr>
          <w:rFonts w:ascii="Arial" w:hAnsi="Arial" w:cs="Arial"/>
          <w:sz w:val="20"/>
          <w:szCs w:val="20"/>
        </w:rPr>
      </w:pPr>
      <w:r>
        <w:rPr>
          <w:rFonts w:ascii="Arial" w:hAnsi="Arial" w:cs="Arial"/>
          <w:sz w:val="20"/>
          <w:szCs w:val="20"/>
        </w:rPr>
        <w:t>The authoress wishes to thank Drs S. Ahmad, S. Kirk, C. Scholfield, L. Mansfield and J. Butler for the facilities they offer during my fellowship time at Nottingham Trent University, Faculty of Science &amp; Mathematics. Thanks are also to the Ministry of Higher Education in Egypt for financial support</w:t>
      </w:r>
    </w:p>
    <w:p w:rsidR="00B45E56" w:rsidRDefault="00B45E56">
      <w:pPr>
        <w:jc w:val="both"/>
        <w:rPr>
          <w:rFonts w:ascii="Arial" w:hAnsi="Arial" w:cs="Arial"/>
          <w:sz w:val="20"/>
          <w:szCs w:val="20"/>
        </w:rPr>
      </w:pPr>
    </w:p>
    <w:p w:rsidR="00B45E56" w:rsidRDefault="000F5140">
      <w:pPr>
        <w:pStyle w:val="Heading1"/>
        <w:jc w:val="center"/>
        <w:rPr>
          <w:rFonts w:ascii="Arial" w:hAnsi="Arial" w:cs="Arial"/>
          <w:b/>
          <w:bCs/>
          <w:sz w:val="20"/>
          <w:szCs w:val="20"/>
        </w:rPr>
      </w:pPr>
      <w:r>
        <w:rPr>
          <w:rFonts w:ascii="Arial" w:hAnsi="Arial" w:cs="Arial"/>
          <w:b/>
          <w:bCs/>
          <w:sz w:val="20"/>
          <w:szCs w:val="20"/>
        </w:rPr>
        <w:t>REFERENCES</w:t>
      </w:r>
    </w:p>
    <w:p w:rsidR="00B45E56" w:rsidRDefault="000F5140">
      <w:pPr>
        <w:pStyle w:val="BodyText"/>
        <w:jc w:val="left"/>
        <w:rPr>
          <w:rFonts w:ascii="Arial" w:hAnsi="Arial" w:cs="Arial"/>
          <w:sz w:val="20"/>
          <w:szCs w:val="20"/>
        </w:rPr>
      </w:pPr>
      <w:r>
        <w:rPr>
          <w:rFonts w:ascii="Arial" w:hAnsi="Arial" w:cs="Arial"/>
          <w:sz w:val="20"/>
          <w:szCs w:val="20"/>
        </w:rPr>
        <w:t xml:space="preserve"> Abbott, S.W.S (1925): A method of computing the effectiveness of insecticides.  J. Econ. Entomol., 18:265-277.</w:t>
      </w:r>
    </w:p>
    <w:p w:rsidR="00B45E56" w:rsidRDefault="000F5140">
      <w:pPr>
        <w:pStyle w:val="BodyText"/>
        <w:jc w:val="left"/>
        <w:rPr>
          <w:rFonts w:ascii="Arial" w:hAnsi="Arial" w:cs="Arial"/>
          <w:sz w:val="20"/>
          <w:szCs w:val="20"/>
        </w:rPr>
      </w:pPr>
      <w:r>
        <w:rPr>
          <w:rFonts w:ascii="Arial" w:hAnsi="Arial" w:cs="Arial"/>
          <w:sz w:val="20"/>
          <w:szCs w:val="20"/>
        </w:rPr>
        <w:t xml:space="preserve">Ben Amor, T.; M. Tronchin; L.Bortolotto; R. Verdiglione and G. Jori (1998): Porphyrins and Related Compounds as Photoactivatable Insecticides 1. Phototoxic Activity of Hematoporphyrin toward </w:t>
      </w:r>
      <w:r>
        <w:rPr>
          <w:rFonts w:ascii="Arial" w:hAnsi="Arial" w:cs="Arial"/>
          <w:i/>
          <w:iCs/>
          <w:sz w:val="20"/>
          <w:szCs w:val="20"/>
        </w:rPr>
        <w:t>Ceratitis capitata</w:t>
      </w:r>
      <w:r>
        <w:rPr>
          <w:rFonts w:ascii="Arial" w:hAnsi="Arial" w:cs="Arial"/>
          <w:sz w:val="20"/>
          <w:szCs w:val="20"/>
        </w:rPr>
        <w:t xml:space="preserve"> and </w:t>
      </w:r>
      <w:r>
        <w:rPr>
          <w:rFonts w:ascii="Arial" w:hAnsi="Arial" w:cs="Arial"/>
          <w:i/>
          <w:iCs/>
          <w:sz w:val="20"/>
          <w:szCs w:val="20"/>
        </w:rPr>
        <w:t>Bactrocera oleae</w:t>
      </w:r>
      <w:r>
        <w:rPr>
          <w:rFonts w:ascii="Arial" w:hAnsi="Arial" w:cs="Arial"/>
          <w:sz w:val="20"/>
          <w:szCs w:val="20"/>
        </w:rPr>
        <w:t>. Photochemistry and Photobiology, 67(2): 144-152.</w:t>
      </w:r>
    </w:p>
    <w:p w:rsidR="00B45E56" w:rsidRDefault="000F5140">
      <w:pPr>
        <w:ind w:left="567" w:hanging="567"/>
        <w:jc w:val="both"/>
      </w:pPr>
      <w:r>
        <w:t>Brown, S. (1997): PDT. : The international scene. Int. Photodyn. 1, 1-2.</w:t>
      </w:r>
    </w:p>
    <w:p w:rsidR="00B45E56" w:rsidRDefault="000F5140">
      <w:pPr>
        <w:rPr>
          <w:rFonts w:ascii="Arial" w:hAnsi="Arial" w:cs="Arial"/>
          <w:sz w:val="20"/>
          <w:szCs w:val="20"/>
        </w:rPr>
      </w:pPr>
      <w:r>
        <w:rPr>
          <w:rFonts w:ascii="Arial" w:hAnsi="Arial" w:cs="Arial"/>
          <w:sz w:val="20"/>
          <w:szCs w:val="20"/>
        </w:rPr>
        <w:t>Halliwell, B.and O.l Aruoma (1993): DNA and free radicals. Ellis Horwood 1993.</w:t>
      </w:r>
    </w:p>
    <w:p w:rsidR="00B45E56" w:rsidRDefault="000F5140">
      <w:pPr>
        <w:rPr>
          <w:rFonts w:ascii="Arial" w:hAnsi="Arial" w:cs="Arial"/>
          <w:sz w:val="20"/>
          <w:szCs w:val="20"/>
        </w:rPr>
      </w:pPr>
      <w:r>
        <w:rPr>
          <w:rFonts w:ascii="Arial" w:hAnsi="Arial" w:cs="Arial"/>
          <w:sz w:val="20"/>
          <w:szCs w:val="20"/>
        </w:rPr>
        <w:t xml:space="preserve">Hasnain, Seyed E.; Taneja, Tarvinder K.; Sah, Nand K.; Mohan, Manjari; Pathak, Niteen; Sahdev, Sudhir; Athar, Mohammad; Totey, Satish M.; Begum, Rasheedunnisa (1999): In vitro cultured </w:t>
      </w:r>
      <w:r>
        <w:rPr>
          <w:rFonts w:ascii="Arial" w:hAnsi="Arial" w:cs="Arial"/>
          <w:i/>
          <w:iCs/>
          <w:sz w:val="20"/>
          <w:szCs w:val="20"/>
        </w:rPr>
        <w:t>Spodoptera furgipedra</w:t>
      </w:r>
      <w:r>
        <w:rPr>
          <w:rFonts w:ascii="Arial" w:hAnsi="Arial" w:cs="Arial"/>
          <w:sz w:val="20"/>
          <w:szCs w:val="20"/>
        </w:rPr>
        <w:t xml:space="preserve"> insect cells: Model for oxidative stress-induced apoptosis. Journal of Biosciences (Bangalore) 24 (1) March 13-19. </w:t>
      </w:r>
    </w:p>
    <w:p w:rsidR="00B45E56" w:rsidRDefault="000F5140">
      <w:pPr>
        <w:pStyle w:val="BodyTextIndent3"/>
        <w:widowControl/>
        <w:ind w:left="0" w:firstLine="0"/>
        <w:rPr>
          <w:rFonts w:ascii="Arial" w:hAnsi="Arial" w:cs="Arial"/>
          <w:sz w:val="20"/>
          <w:szCs w:val="20"/>
          <w:lang w:val="en-GB"/>
        </w:rPr>
      </w:pPr>
      <w:r>
        <w:rPr>
          <w:rFonts w:ascii="Arial" w:hAnsi="Arial" w:cs="Arial"/>
          <w:sz w:val="20"/>
          <w:szCs w:val="20"/>
          <w:lang w:val="en-GB"/>
        </w:rPr>
        <w:t>Heitz, J.R. (1987): Development of photoactivated compounds as pesticides. In Light Activated Pesticides (Edited by J.R. Heitz and K.R.Dowrum), pp. 1-12. American Chemical Society Symposium Series, Washington, DC.</w:t>
      </w:r>
    </w:p>
    <w:p w:rsidR="00B45E56" w:rsidRDefault="000F5140">
      <w:pPr>
        <w:pStyle w:val="BodyTextIndent3"/>
        <w:widowControl/>
        <w:ind w:left="0" w:firstLine="0"/>
        <w:rPr>
          <w:rFonts w:ascii="Arial" w:hAnsi="Arial" w:cs="Arial"/>
          <w:sz w:val="20"/>
          <w:szCs w:val="20"/>
          <w:lang w:val="en-GB"/>
        </w:rPr>
      </w:pPr>
      <w:r>
        <w:rPr>
          <w:rFonts w:ascii="Arial" w:hAnsi="Arial" w:cs="Arial"/>
          <w:sz w:val="20"/>
          <w:szCs w:val="20"/>
          <w:lang w:val="en-GB"/>
        </w:rPr>
        <w:t xml:space="preserve">He Liming, Zhang Suzhan, Yu Ling and   et al. (1997): Photodynamic  Effect of 49 single laser photosensitizers on two human tumour cell lines in vitro.Chin J. Oncol, Novamber ,Vol 19,No.6 .431-433. </w:t>
      </w:r>
    </w:p>
    <w:p w:rsidR="00B45E56" w:rsidRDefault="000F5140">
      <w:pPr>
        <w:pStyle w:val="BodyText3"/>
      </w:pPr>
      <w:r>
        <w:t xml:space="preserve">  Jori, G. (1985): Molecular and cellular mechanisms in photomedicine: Porphyrins in microheterogeneous environments. In Primary Photoprocesses in Biology and Medicine (Edited by R. V. Bensasson,</w:t>
      </w:r>
    </w:p>
    <w:p w:rsidR="00B45E56" w:rsidRDefault="000F5140">
      <w:pPr>
        <w:ind w:left="567" w:hanging="567"/>
        <w:jc w:val="both"/>
        <w:rPr>
          <w:rFonts w:ascii="Arial" w:hAnsi="Arial" w:cs="Arial"/>
          <w:sz w:val="20"/>
          <w:szCs w:val="20"/>
        </w:rPr>
      </w:pPr>
      <w:r>
        <w:rPr>
          <w:rFonts w:ascii="Arial" w:hAnsi="Arial" w:cs="Arial"/>
          <w:sz w:val="20"/>
          <w:szCs w:val="20"/>
        </w:rPr>
        <w:t xml:space="preserve"> G. Jori, E. Land and T.G. Truscott), PP. 349-355. Plenum press, New York. </w:t>
      </w:r>
    </w:p>
    <w:p w:rsidR="00B45E56" w:rsidRDefault="000F5140">
      <w:pPr>
        <w:pStyle w:val="BodyText3"/>
      </w:pPr>
      <w:r>
        <w:t xml:space="preserve">Jori, G. and J. D. Spikes (1983): Photobiochemistry of porphyrins. In Topics in photomedicine (Edited by K.C. Smith), pp. 183-319. Plenum press, New York. </w:t>
      </w:r>
    </w:p>
    <w:p w:rsidR="00B45E56" w:rsidRDefault="000F5140">
      <w:pPr>
        <w:ind w:hanging="567"/>
        <w:jc w:val="both"/>
      </w:pPr>
      <w:r>
        <w:t xml:space="preserve">         Jori, G. (1986): Tumour photosensitizers: approaches to enhance the selectivity and efficiency   of photodynamic therapy. J. photochem. photobiol., B Biol. 36,87-93. </w:t>
      </w:r>
    </w:p>
    <w:p w:rsidR="00B45E56" w:rsidRDefault="000F5140">
      <w:pPr>
        <w:jc w:val="both"/>
        <w:rPr>
          <w:rFonts w:ascii="Arial" w:hAnsi="Arial" w:cs="Arial"/>
          <w:sz w:val="20"/>
          <w:szCs w:val="20"/>
        </w:rPr>
      </w:pPr>
      <w:r>
        <w:rPr>
          <w:rFonts w:ascii="Arial" w:hAnsi="Arial" w:cs="Arial"/>
          <w:sz w:val="20"/>
          <w:szCs w:val="20"/>
        </w:rPr>
        <w:t xml:space="preserve">Kessel, D. and T.H.Chou (1983): Porphyrin –localizing phenomena. In Porphyrin photosensitization (Edited by D.Kessel and T.J. Dougherty), pp. 115-127. Plenum Press, New York. </w:t>
      </w:r>
    </w:p>
    <w:p w:rsidR="00B45E56" w:rsidRDefault="000F5140">
      <w:pPr>
        <w:tabs>
          <w:tab w:val="left" w:pos="0"/>
        </w:tabs>
        <w:ind w:hanging="567"/>
        <w:jc w:val="both"/>
        <w:rPr>
          <w:rFonts w:ascii="Arial" w:hAnsi="Arial" w:cs="Arial"/>
          <w:sz w:val="20"/>
          <w:szCs w:val="20"/>
        </w:rPr>
      </w:pPr>
      <w:r>
        <w:rPr>
          <w:rFonts w:ascii="Arial" w:hAnsi="Arial" w:cs="Arial"/>
          <w:sz w:val="20"/>
          <w:szCs w:val="20"/>
        </w:rPr>
        <w:t xml:space="preserve">         Kwa, Marcel S.; De Maagd , Ruud A.; Stiekema,Willem J.; Vlak, Just M.; Bosch, Dirk (1998): Toxicity and binding properties of the </w:t>
      </w:r>
      <w:r>
        <w:rPr>
          <w:rFonts w:ascii="Arial" w:hAnsi="Arial" w:cs="Arial"/>
          <w:i/>
          <w:iCs/>
          <w:sz w:val="20"/>
          <w:szCs w:val="20"/>
        </w:rPr>
        <w:t>Bacillus thuringiensis</w:t>
      </w:r>
      <w:r>
        <w:rPr>
          <w:rFonts w:ascii="Arial" w:hAnsi="Arial" w:cs="Arial"/>
          <w:sz w:val="20"/>
          <w:szCs w:val="20"/>
        </w:rPr>
        <w:t xml:space="preserve"> delta-endotoxin Cry1C to cultured insect cells. Journal of Invertebrate Pathology, 71 (2) March, 121-127.</w:t>
      </w:r>
    </w:p>
    <w:p w:rsidR="00B45E56" w:rsidRDefault="000F5140">
      <w:pPr>
        <w:pStyle w:val="BodyText2"/>
        <w:widowControl w:val="0"/>
        <w:tabs>
          <w:tab w:val="left" w:pos="0"/>
        </w:tabs>
        <w:jc w:val="both"/>
        <w:rPr>
          <w:lang w:val="en-US"/>
        </w:rPr>
      </w:pPr>
      <w:r>
        <w:rPr>
          <w:lang w:val="en-US"/>
        </w:rPr>
        <w:t>Lenke, L. A.; P.G. Koehler; R.S. patterson; M.B. Feger and T. Eickhoff (1987): Field development of photooxidative dyes as insecticides. In Light Activated Pesticides (Edited by J.R. Heitz and K.R. Dowrum), pp.156-167.American Chemical Society Symposium Series, Washington, DC.</w:t>
      </w:r>
    </w:p>
    <w:p w:rsidR="00B45E56" w:rsidRDefault="000F5140">
      <w:pPr>
        <w:jc w:val="both"/>
        <w:rPr>
          <w:rFonts w:ascii="Arial" w:hAnsi="Arial" w:cs="Arial"/>
          <w:sz w:val="20"/>
          <w:szCs w:val="20"/>
        </w:rPr>
      </w:pPr>
      <w:r>
        <w:rPr>
          <w:rFonts w:ascii="Arial" w:hAnsi="Arial" w:cs="Arial"/>
          <w:sz w:val="20"/>
          <w:szCs w:val="20"/>
        </w:rPr>
        <w:t xml:space="preserve">Mosmann, T. (1983): Rapid colorimetric assay for cellular growth and Survival: Application to proliferation and cytotoxicity assays. J. Immunol. Methods 65, 55-63.  </w:t>
      </w:r>
    </w:p>
    <w:p w:rsidR="00B45E56" w:rsidRDefault="000F5140">
      <w:pPr>
        <w:rPr>
          <w:rFonts w:ascii="Arial" w:hAnsi="Arial" w:cs="Arial"/>
          <w:sz w:val="20"/>
          <w:szCs w:val="20"/>
        </w:rPr>
      </w:pPr>
      <w:r>
        <w:rPr>
          <w:rFonts w:ascii="Arial" w:hAnsi="Arial" w:cs="Arial"/>
          <w:sz w:val="20"/>
          <w:szCs w:val="20"/>
        </w:rPr>
        <w:t xml:space="preserve">O`Reilly, D.R.; Miller,L.K.and Luckow, V. A. (1992): Baculovirus Expression Vectors :A Laboratory Manual. Vol. W. H. Freeman and Company. New York, N.Y. </w:t>
      </w:r>
    </w:p>
    <w:p w:rsidR="00B45E56" w:rsidRDefault="000F5140">
      <w:pPr>
        <w:ind w:hanging="142"/>
        <w:jc w:val="both"/>
        <w:rPr>
          <w:rFonts w:ascii="Arial" w:hAnsi="Arial" w:cs="Arial"/>
          <w:sz w:val="20"/>
          <w:szCs w:val="20"/>
        </w:rPr>
      </w:pPr>
      <w:r>
        <w:rPr>
          <w:rFonts w:ascii="Arial" w:hAnsi="Arial" w:cs="Arial"/>
          <w:sz w:val="20"/>
          <w:szCs w:val="20"/>
        </w:rPr>
        <w:t xml:space="preserve">   Salama, E.M, S. El Sherbini, M.H. Abdel-Kader and G.Jori (1998): Ultra-structural localization of a photoinsecticide in </w:t>
      </w:r>
      <w:r>
        <w:rPr>
          <w:rFonts w:ascii="Arial" w:hAnsi="Arial" w:cs="Arial"/>
          <w:i/>
          <w:iCs/>
          <w:sz w:val="20"/>
          <w:szCs w:val="20"/>
        </w:rPr>
        <w:t>Culex pipiens</w:t>
      </w:r>
      <w:r>
        <w:rPr>
          <w:rFonts w:ascii="Arial" w:hAnsi="Arial" w:cs="Arial"/>
          <w:sz w:val="20"/>
          <w:szCs w:val="20"/>
        </w:rPr>
        <w:t xml:space="preserve"> larvae. 3</w:t>
      </w:r>
      <w:r>
        <w:rPr>
          <w:rFonts w:ascii="Arial" w:hAnsi="Arial" w:cs="Arial"/>
          <w:sz w:val="20"/>
          <w:szCs w:val="20"/>
          <w:vertAlign w:val="superscript"/>
        </w:rPr>
        <w:t xml:space="preserve"> rd </w:t>
      </w:r>
      <w:r>
        <w:rPr>
          <w:rFonts w:ascii="Arial" w:hAnsi="Arial" w:cs="Arial"/>
          <w:sz w:val="20"/>
          <w:szCs w:val="20"/>
        </w:rPr>
        <w:t>International Conference on Lasers&amp; Applications, Advances in Science, Medicine &amp; Technology Cairo, 14-16 November 1998</w:t>
      </w:r>
      <w:r>
        <w:rPr>
          <w:rFonts w:ascii="Arial" w:hAnsi="Arial" w:cs="Arial"/>
          <w:sz w:val="20"/>
          <w:szCs w:val="20"/>
          <w:vertAlign w:val="superscript"/>
        </w:rPr>
        <w:t xml:space="preserve">. </w:t>
      </w:r>
    </w:p>
    <w:p w:rsidR="00B45E56" w:rsidRDefault="000F5140">
      <w:pPr>
        <w:rPr>
          <w:rFonts w:ascii="Arial" w:hAnsi="Arial" w:cs="Arial"/>
          <w:sz w:val="20"/>
          <w:szCs w:val="20"/>
        </w:rPr>
      </w:pPr>
      <w:r>
        <w:rPr>
          <w:rFonts w:ascii="Arial" w:hAnsi="Arial" w:cs="Arial"/>
          <w:sz w:val="20"/>
          <w:szCs w:val="20"/>
        </w:rPr>
        <w:t xml:space="preserve">Vaughan, J.L.; Goodwin, R.H.; Tompkins, G.J. and McCawley, P. (1977): The Establishment of Two Cell Lines from the Insect </w:t>
      </w:r>
      <w:r>
        <w:rPr>
          <w:rFonts w:ascii="Arial" w:hAnsi="Arial" w:cs="Arial"/>
          <w:i/>
          <w:iCs/>
          <w:sz w:val="20"/>
          <w:szCs w:val="20"/>
        </w:rPr>
        <w:t>Spodoptera frugiperda</w:t>
      </w:r>
      <w:r>
        <w:rPr>
          <w:rFonts w:ascii="Arial" w:hAnsi="Arial" w:cs="Arial"/>
          <w:sz w:val="20"/>
          <w:szCs w:val="20"/>
        </w:rPr>
        <w:t xml:space="preserve"> ( Lepidoptera :Noctuidae ).In Vitro 13: 213-217.</w:t>
      </w:r>
    </w:p>
    <w:p w:rsidR="00B45E56" w:rsidRDefault="000F5140">
      <w:pPr>
        <w:pStyle w:val="BodyText2"/>
      </w:pPr>
      <w:r>
        <w:t>Yu Da, Yu Lin-Lin (1993) :Optimal conditions of chemotherapeutic sensitivity in K562 cell line using tetrazolium dye assay. Acta Pharmacologica Sinica, 14-137.</w:t>
      </w:r>
    </w:p>
    <w:p w:rsidR="00B45E56" w:rsidRDefault="000F5140">
      <w:pPr>
        <w:pStyle w:val="BodyText"/>
        <w:ind w:hanging="567"/>
        <w:jc w:val="both"/>
        <w:rPr>
          <w:rFonts w:ascii="Arial" w:hAnsi="Arial" w:cs="Arial"/>
          <w:sz w:val="20"/>
          <w:szCs w:val="20"/>
        </w:rPr>
      </w:pPr>
      <w:r>
        <w:rPr>
          <w:rFonts w:ascii="Arial" w:hAnsi="Arial" w:cs="Arial"/>
          <w:sz w:val="20"/>
          <w:szCs w:val="20"/>
        </w:rPr>
        <w:t xml:space="preserve">         Yoho , T.P., L. Butler and J.E. Weaver (1976): Photodynamic killing of house flies fed food, drug and cosmetic dye additives. Environ. Entomol. 5, 203-207. </w:t>
      </w:r>
    </w:p>
    <w:p w:rsidR="00B45E56" w:rsidRDefault="00B45E56">
      <w:pPr>
        <w:pStyle w:val="BodyText2"/>
        <w:widowControl w:val="0"/>
        <w:ind w:left="567" w:hanging="567"/>
        <w:jc w:val="both"/>
        <w:rPr>
          <w:lang w:val="en-US"/>
        </w:rPr>
      </w:pPr>
    </w:p>
    <w:p w:rsidR="00B45E56" w:rsidRDefault="00B45E56">
      <w:pPr>
        <w:ind w:left="567" w:hanging="567"/>
        <w:jc w:val="both"/>
        <w:rPr>
          <w:rFonts w:ascii="Arial" w:hAnsi="Arial" w:cs="Arial"/>
          <w:sz w:val="20"/>
          <w:szCs w:val="20"/>
        </w:rPr>
      </w:pPr>
    </w:p>
    <w:p w:rsidR="00B45E56" w:rsidRDefault="00B45E56">
      <w:pPr>
        <w:ind w:left="567" w:hanging="567"/>
        <w:jc w:val="both"/>
        <w:rPr>
          <w:rFonts w:ascii="Arial" w:hAnsi="Arial" w:cs="Arial"/>
          <w:sz w:val="20"/>
          <w:szCs w:val="20"/>
        </w:rPr>
      </w:pPr>
    </w:p>
    <w:p w:rsidR="00B45E56" w:rsidRDefault="00B45E56">
      <w:pPr>
        <w:ind w:left="567" w:hanging="567"/>
        <w:jc w:val="both"/>
        <w:rPr>
          <w:rFonts w:ascii="Arial" w:hAnsi="Arial" w:cs="Arial"/>
          <w:sz w:val="20"/>
          <w:szCs w:val="20"/>
        </w:rPr>
      </w:pPr>
    </w:p>
    <w:p w:rsidR="00B45E56" w:rsidRDefault="00B45E56">
      <w:pPr>
        <w:jc w:val="both"/>
        <w:rPr>
          <w:rFonts w:ascii="Arial" w:hAnsi="Arial" w:cs="Arial"/>
          <w:sz w:val="20"/>
          <w:szCs w:val="20"/>
        </w:rPr>
      </w:pPr>
    </w:p>
    <w:p w:rsidR="00B45E56" w:rsidRDefault="00B45E56">
      <w:pPr>
        <w:jc w:val="both"/>
        <w:rPr>
          <w:rFonts w:ascii="Arial" w:hAnsi="Arial" w:cs="Arial"/>
          <w:sz w:val="20"/>
          <w:szCs w:val="20"/>
        </w:rPr>
      </w:pPr>
    </w:p>
    <w:p w:rsidR="00B45E56" w:rsidRDefault="00816124">
      <w:pPr>
        <w:ind w:firstLine="567"/>
        <w:rPr>
          <w:rFonts w:ascii="Arial" w:hAnsi="Arial" w:cs="Arial"/>
          <w:sz w:val="20"/>
          <w:szCs w:val="20"/>
        </w:rPr>
      </w:pPr>
      <w:r>
        <w:rPr>
          <w:noProof/>
          <w:lang w:val="en-US"/>
        </w:rPr>
        <w:lastRenderedPageBreak/>
        <w:drawing>
          <wp:inline distT="0" distB="0" distL="0" distR="0">
            <wp:extent cx="3467100" cy="360680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816124">
      <w:pPr>
        <w:ind w:firstLine="567"/>
        <w:rPr>
          <w:rFonts w:ascii="Arial" w:hAnsi="Arial" w:cs="Arial"/>
          <w:sz w:val="20"/>
          <w:szCs w:val="20"/>
        </w:rPr>
      </w:pPr>
      <w:r>
        <w:rPr>
          <w:noProof/>
          <w:lang w:val="en-US"/>
        </w:rPr>
        <w:drawing>
          <wp:inline distT="0" distB="0" distL="0" distR="0">
            <wp:extent cx="3467100" cy="2578100"/>
            <wp:effectExtent l="0" t="0" r="0" b="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5E56" w:rsidRDefault="00816124">
      <w:pPr>
        <w:ind w:firstLine="567"/>
        <w:rPr>
          <w:rFonts w:ascii="Arial" w:hAnsi="Arial" w:cs="Arial"/>
          <w:sz w:val="20"/>
          <w:szCs w:val="20"/>
        </w:rPr>
      </w:pPr>
      <w:r>
        <w:rPr>
          <w:noProof/>
          <w:lang w:val="en-US"/>
        </w:rPr>
        <w:lastRenderedPageBreak/>
        <w:drawing>
          <wp:inline distT="0" distB="0" distL="0" distR="0">
            <wp:extent cx="3467100" cy="3289300"/>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5E56" w:rsidRDefault="00B45E56">
      <w:pPr>
        <w:ind w:firstLine="567"/>
        <w:rPr>
          <w:rFonts w:ascii="Arial" w:hAnsi="Arial" w:cs="Arial"/>
          <w:sz w:val="20"/>
          <w:szCs w:val="20"/>
        </w:rPr>
      </w:pPr>
    </w:p>
    <w:p w:rsidR="00B45E56" w:rsidRDefault="00B45E56">
      <w:pPr>
        <w:ind w:firstLine="567"/>
        <w:jc w:val="both"/>
        <w:rPr>
          <w:rFonts w:ascii="Arial" w:hAnsi="Arial" w:cs="Arial"/>
          <w:sz w:val="20"/>
          <w:szCs w:val="20"/>
        </w:rPr>
      </w:pPr>
    </w:p>
    <w:p w:rsidR="00B45E56" w:rsidRDefault="00B45E56">
      <w:pPr>
        <w:ind w:firstLine="567"/>
        <w:jc w:val="both"/>
        <w:rPr>
          <w:rFonts w:ascii="Arial" w:hAnsi="Arial" w:cs="Arial"/>
          <w:sz w:val="20"/>
          <w:szCs w:val="20"/>
        </w:rPr>
      </w:pPr>
    </w:p>
    <w:p w:rsidR="00B45E56" w:rsidRDefault="00B45E56">
      <w:pPr>
        <w:ind w:firstLine="567"/>
        <w:jc w:val="both"/>
        <w:rPr>
          <w:rFonts w:ascii="Arial" w:hAnsi="Arial" w:cs="Arial"/>
          <w:sz w:val="20"/>
          <w:szCs w:val="20"/>
        </w:rPr>
      </w:pPr>
    </w:p>
    <w:p w:rsidR="00B45E56" w:rsidRDefault="00B45E56">
      <w:pPr>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rPr>
          <w:rFonts w:ascii="Arial" w:hAnsi="Arial" w:cs="Arial"/>
          <w:sz w:val="20"/>
          <w:szCs w:val="20"/>
        </w:rPr>
      </w:pPr>
    </w:p>
    <w:p w:rsidR="00B45E56" w:rsidRDefault="00B45E56">
      <w:pPr>
        <w:ind w:firstLine="567"/>
        <w:jc w:val="both"/>
        <w:rPr>
          <w:rFonts w:ascii="Arial" w:hAnsi="Arial" w:cs="Arial"/>
          <w:sz w:val="20"/>
          <w:szCs w:val="20"/>
        </w:rPr>
      </w:pPr>
    </w:p>
    <w:p w:rsidR="00B45E56" w:rsidRDefault="00B45E56">
      <w:pPr>
        <w:ind w:firstLine="567"/>
        <w:jc w:val="both"/>
        <w:rPr>
          <w:rFonts w:ascii="Arial" w:hAnsi="Arial" w:cs="Arial"/>
          <w:sz w:val="20"/>
          <w:szCs w:val="20"/>
        </w:rPr>
      </w:pPr>
    </w:p>
    <w:p w:rsidR="00B45E56" w:rsidRDefault="00B45E56">
      <w:pPr>
        <w:ind w:firstLine="567"/>
        <w:jc w:val="both"/>
        <w:rPr>
          <w:rFonts w:ascii="Arial" w:hAnsi="Arial" w:cs="Arial"/>
          <w:sz w:val="20"/>
          <w:szCs w:val="20"/>
        </w:rPr>
      </w:pPr>
    </w:p>
    <w:p w:rsidR="00B45E56" w:rsidRDefault="00B45E56">
      <w:pPr>
        <w:rPr>
          <w:rFonts w:ascii="Arial" w:hAnsi="Arial" w:cs="Arial"/>
          <w:sz w:val="20"/>
          <w:szCs w:val="20"/>
        </w:rPr>
      </w:pPr>
    </w:p>
    <w:p w:rsidR="000F5140" w:rsidRDefault="000F5140">
      <w:pPr>
        <w:rPr>
          <w:rFonts w:ascii="Arial" w:hAnsi="Arial" w:cs="Arial"/>
          <w:sz w:val="20"/>
          <w:szCs w:val="20"/>
        </w:rPr>
      </w:pPr>
    </w:p>
    <w:sectPr w:rsidR="000F5140" w:rsidSect="00B45E56">
      <w:headerReference w:type="default" r:id="rId11"/>
      <w:footerReference w:type="default" r:id="rId12"/>
      <w:pgSz w:w="11906" w:h="16838" w:code="9"/>
      <w:pgMar w:top="1418" w:right="1134" w:bottom="1134"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21B" w:rsidRDefault="0088021B">
      <w:r>
        <w:separator/>
      </w:r>
    </w:p>
  </w:endnote>
  <w:endnote w:type="continuationSeparator" w:id="1">
    <w:p w:rsidR="0088021B" w:rsidRDefault="008802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56" w:rsidRDefault="00B45E56">
    <w:pPr>
      <w:pStyle w:val="Footer"/>
      <w:framePr w:wrap="auto" w:vAnchor="text" w:hAnchor="margin" w:xAlign="center" w:y="1"/>
      <w:rPr>
        <w:rStyle w:val="PageNumber"/>
        <w:b/>
        <w:bCs/>
        <w:sz w:val="28"/>
        <w:szCs w:val="28"/>
      </w:rPr>
    </w:pPr>
    <w:r>
      <w:rPr>
        <w:rStyle w:val="PageNumber"/>
        <w:b/>
        <w:bCs/>
        <w:sz w:val="28"/>
        <w:szCs w:val="28"/>
      </w:rPr>
      <w:fldChar w:fldCharType="begin"/>
    </w:r>
    <w:r w:rsidR="000F5140">
      <w:rPr>
        <w:rStyle w:val="PageNumber"/>
        <w:b/>
        <w:bCs/>
        <w:sz w:val="28"/>
        <w:szCs w:val="28"/>
      </w:rPr>
      <w:instrText xml:space="preserve">PAGE  </w:instrText>
    </w:r>
    <w:r>
      <w:rPr>
        <w:rStyle w:val="PageNumber"/>
        <w:b/>
        <w:bCs/>
        <w:sz w:val="28"/>
        <w:szCs w:val="28"/>
      </w:rPr>
      <w:fldChar w:fldCharType="separate"/>
    </w:r>
    <w:r w:rsidR="006C60E2">
      <w:rPr>
        <w:rStyle w:val="PageNumber"/>
        <w:b/>
        <w:bCs/>
        <w:noProof/>
        <w:sz w:val="28"/>
        <w:szCs w:val="28"/>
      </w:rPr>
      <w:t>2</w:t>
    </w:r>
    <w:r>
      <w:rPr>
        <w:rStyle w:val="PageNumber"/>
        <w:b/>
        <w:bCs/>
        <w:sz w:val="28"/>
        <w:szCs w:val="28"/>
      </w:rPr>
      <w:fldChar w:fldCharType="end"/>
    </w:r>
  </w:p>
  <w:p w:rsidR="00B45E56" w:rsidRDefault="00B45E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21B" w:rsidRDefault="0088021B">
      <w:r>
        <w:separator/>
      </w:r>
    </w:p>
  </w:footnote>
  <w:footnote w:type="continuationSeparator" w:id="1">
    <w:p w:rsidR="0088021B" w:rsidRDefault="00880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56" w:rsidRPr="00AE24A8" w:rsidRDefault="00B45E56" w:rsidP="00AE24A8">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6EEC"/>
    <w:multiLevelType w:val="hybridMultilevel"/>
    <w:tmpl w:val="C4CA1A4C"/>
    <w:lvl w:ilvl="0" w:tplc="6ECACC08">
      <w:start w:val="7"/>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25445A2"/>
    <w:multiLevelType w:val="hybridMultilevel"/>
    <w:tmpl w:val="5FF23182"/>
    <w:lvl w:ilvl="0" w:tplc="D96CBAD0">
      <w:start w:val="4"/>
      <w:numFmt w:val="decimal"/>
      <w:lvlText w:val="%1"/>
      <w:lvlJc w:val="left"/>
      <w:pPr>
        <w:tabs>
          <w:tab w:val="num" w:pos="1155"/>
        </w:tabs>
        <w:ind w:left="1155" w:hanging="360"/>
      </w:pPr>
      <w:rPr>
        <w:rFonts w:hint="default"/>
      </w:rPr>
    </w:lvl>
    <w:lvl w:ilvl="1" w:tplc="04090019">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start w:val="1"/>
      <w:numFmt w:val="decimal"/>
      <w:lvlText w:val="%4."/>
      <w:lvlJc w:val="left"/>
      <w:pPr>
        <w:tabs>
          <w:tab w:val="num" w:pos="3315"/>
        </w:tabs>
        <w:ind w:left="3315" w:hanging="360"/>
      </w:pPr>
    </w:lvl>
    <w:lvl w:ilvl="4" w:tplc="04090019">
      <w:start w:val="1"/>
      <w:numFmt w:val="lowerLetter"/>
      <w:lvlText w:val="%5."/>
      <w:lvlJc w:val="left"/>
      <w:pPr>
        <w:tabs>
          <w:tab w:val="num" w:pos="4035"/>
        </w:tabs>
        <w:ind w:left="4035" w:hanging="360"/>
      </w:pPr>
    </w:lvl>
    <w:lvl w:ilvl="5" w:tplc="0409001B">
      <w:start w:val="1"/>
      <w:numFmt w:val="lowerRoman"/>
      <w:lvlText w:val="%6."/>
      <w:lvlJc w:val="right"/>
      <w:pPr>
        <w:tabs>
          <w:tab w:val="num" w:pos="4755"/>
        </w:tabs>
        <w:ind w:left="4755" w:hanging="180"/>
      </w:pPr>
    </w:lvl>
    <w:lvl w:ilvl="6" w:tplc="0409000F">
      <w:start w:val="1"/>
      <w:numFmt w:val="decimal"/>
      <w:lvlText w:val="%7."/>
      <w:lvlJc w:val="left"/>
      <w:pPr>
        <w:tabs>
          <w:tab w:val="num" w:pos="5475"/>
        </w:tabs>
        <w:ind w:left="5475" w:hanging="360"/>
      </w:pPr>
    </w:lvl>
    <w:lvl w:ilvl="7" w:tplc="04090019">
      <w:start w:val="1"/>
      <w:numFmt w:val="lowerLetter"/>
      <w:lvlText w:val="%8."/>
      <w:lvlJc w:val="left"/>
      <w:pPr>
        <w:tabs>
          <w:tab w:val="num" w:pos="6195"/>
        </w:tabs>
        <w:ind w:left="6195" w:hanging="360"/>
      </w:pPr>
    </w:lvl>
    <w:lvl w:ilvl="8" w:tplc="0409001B">
      <w:start w:val="1"/>
      <w:numFmt w:val="lowerRoman"/>
      <w:lvlText w:val="%9."/>
      <w:lvlJc w:val="right"/>
      <w:pPr>
        <w:tabs>
          <w:tab w:val="num" w:pos="6915"/>
        </w:tabs>
        <w:ind w:left="6915" w:hanging="180"/>
      </w:pPr>
    </w:lvl>
  </w:abstractNum>
  <w:abstractNum w:abstractNumId="2">
    <w:nsid w:val="21AD32CC"/>
    <w:multiLevelType w:val="multilevel"/>
    <w:tmpl w:val="D384E4CE"/>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vanish w:val="0"/>
      </w:rPr>
    </w:lvl>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vanish w:val="0"/>
      </w:rPr>
    </w:lvl>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vanish w:val="0"/>
      </w:rPr>
    </w:lvl>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vanish w:val="0"/>
      </w:rPr>
    </w:lvl>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vanish w:val="0"/>
      </w:rPr>
    </w:lvl>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vanish w:val="0"/>
      </w:rPr>
    </w:lvl>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vanish w:val="0"/>
      </w:rPr>
    </w:lvl>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vanish w:val="0"/>
      </w:rPr>
    </w:lvl>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vanish w:val="0"/>
      </w:rPr>
    </w:lvl>
  </w:abstractNum>
  <w:abstractNum w:abstractNumId="3">
    <w:nsid w:val="2B3F4CD5"/>
    <w:multiLevelType w:val="hybridMultilevel"/>
    <w:tmpl w:val="5656B44C"/>
    <w:lvl w:ilvl="0" w:tplc="E418149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C1C7B73"/>
    <w:multiLevelType w:val="hybridMultilevel"/>
    <w:tmpl w:val="5CFE085E"/>
    <w:lvl w:ilvl="0" w:tplc="A118861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3B0C6C1B"/>
    <w:multiLevelType w:val="multilevel"/>
    <w:tmpl w:val="23F495E8"/>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vanish w:val="0"/>
      </w:rPr>
    </w:lvl>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vanish w:val="0"/>
      </w:rPr>
    </w:lvl>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vanish w:val="0"/>
      </w:rPr>
    </w:lvl>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vanish w:val="0"/>
      </w:rPr>
    </w:lvl>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vanish w:val="0"/>
      </w:rPr>
    </w:lvl>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vanish w:val="0"/>
      </w:rPr>
    </w:lvl>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vanish w:val="0"/>
      </w:rPr>
    </w:lvl>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vanish w:val="0"/>
      </w:rPr>
    </w:lvl>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vanish w:val="0"/>
      </w:rPr>
    </w:lvl>
  </w:abstractNum>
  <w:num w:numId="1">
    <w:abstractNumId w:val="2"/>
  </w:num>
  <w:num w:numId="2">
    <w:abstractNumId w:val="2"/>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3">
    <w:abstractNumId w:val="2"/>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4">
    <w:abstractNumId w:val="2"/>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5">
    <w:abstractNumId w:val="5"/>
  </w:num>
  <w:num w:numId="6">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7">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8">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9">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10">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11">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12">
    <w:abstractNumId w:val="5"/>
    <w:lvlOverride w:ilvl="0">
      <w:lvl w:ilvl="0">
        <w:start w:val="2"/>
        <w:numFmt w:val="decimal"/>
        <w:lvlText w:val="%1"/>
        <w:legacy w:legacy="1" w:legacySpace="120" w:legacyIndent="630"/>
        <w:lvlJc w:val="left"/>
        <w:pPr>
          <w:ind w:left="630" w:hanging="630"/>
        </w:pPr>
        <w:rPr>
          <w:rFonts w:ascii="Times New Roman" w:hAnsi="Times New Roman" w:cs="Times New Roman"/>
          <w:b w:val="0"/>
          <w:bCs w:val="0"/>
          <w:i w:val="0"/>
          <w:iCs w:val="0"/>
          <w:caps w:val="0"/>
          <w:smallCaps w:val="0"/>
          <w:strike w:val="0"/>
          <w:outline w:val="0"/>
          <w:shadow w:val="0"/>
          <w:vanish w:val="0"/>
        </w:rPr>
      </w:lvl>
    </w:lvlOverride>
    <w:lvlOverride w:ilvl="1">
      <w:lvl w:ilvl="1">
        <w:start w:val="4"/>
        <w:numFmt w:val="decimal"/>
        <w:lvlText w:val="%1.%2"/>
        <w:legacy w:legacy="1" w:legacySpace="120" w:legacyIndent="630"/>
        <w:lvlJc w:val="left"/>
        <w:pPr>
          <w:ind w:left="1260" w:hanging="630"/>
        </w:pPr>
        <w:rPr>
          <w:rFonts w:ascii="Times New Roman" w:hAnsi="Times New Roman" w:cs="Times New Roman"/>
          <w:b w:val="0"/>
          <w:bCs w:val="0"/>
          <w:i w:val="0"/>
          <w:iCs w:val="0"/>
          <w:caps w:val="0"/>
          <w:smallCaps w:val="0"/>
          <w:strike w:val="0"/>
          <w:outline w:val="0"/>
          <w:shadow w:val="0"/>
          <w:vanish w:val="0"/>
        </w:rPr>
      </w:lvl>
    </w:lvlOverride>
    <w:lvlOverride w:ilvl="2">
      <w:lvl w:ilvl="2">
        <w:start w:val="1"/>
        <w:numFmt w:val="decimal"/>
        <w:lvlText w:val="%1.%2.%3"/>
        <w:legacy w:legacy="1" w:legacySpace="120" w:legacyIndent="720"/>
        <w:lvlJc w:val="left"/>
        <w:pPr>
          <w:ind w:left="1980" w:hanging="720"/>
        </w:pPr>
        <w:rPr>
          <w:rFonts w:ascii="Times New Roman" w:hAnsi="Times New Roman" w:cs="Times New Roman"/>
          <w:b w:val="0"/>
          <w:bCs w:val="0"/>
          <w:i w:val="0"/>
          <w:iCs w:val="0"/>
          <w:caps w:val="0"/>
          <w:smallCaps w:val="0"/>
          <w:strike w:val="0"/>
          <w:outline w:val="0"/>
          <w:shadow w:val="0"/>
          <w:vanish w:val="0"/>
        </w:rPr>
      </w:lvl>
    </w:lvlOverride>
    <w:lvlOverride w:ilvl="3">
      <w:lvl w:ilvl="3">
        <w:start w:val="1"/>
        <w:numFmt w:val="decimal"/>
        <w:lvlText w:val="%1.%2.%3.%4"/>
        <w:legacy w:legacy="1" w:legacySpace="120" w:legacyIndent="1080"/>
        <w:lvlJc w:val="left"/>
        <w:pPr>
          <w:ind w:left="3060" w:hanging="1080"/>
        </w:pPr>
        <w:rPr>
          <w:rFonts w:ascii="Times New Roman" w:hAnsi="Times New Roman" w:cs="Times New Roman"/>
          <w:b w:val="0"/>
          <w:bCs w:val="0"/>
          <w:i w:val="0"/>
          <w:iCs w:val="0"/>
          <w:caps w:val="0"/>
          <w:smallCaps w:val="0"/>
          <w:strike w:val="0"/>
          <w:outline w:val="0"/>
          <w:shadow w:val="0"/>
          <w:vanish w:val="0"/>
        </w:rPr>
      </w:lvl>
    </w:lvlOverride>
    <w:lvlOverride w:ilvl="4">
      <w:lvl w:ilvl="4">
        <w:start w:val="1"/>
        <w:numFmt w:val="decimal"/>
        <w:lvlText w:val="%1.%2.%3.%4.%5"/>
        <w:legacy w:legacy="1" w:legacySpace="120" w:legacyIndent="1080"/>
        <w:lvlJc w:val="left"/>
        <w:pPr>
          <w:ind w:left="4140" w:hanging="1080"/>
        </w:pPr>
        <w:rPr>
          <w:rFonts w:ascii="Times New Roman" w:hAnsi="Times New Roman" w:cs="Times New Roman"/>
          <w:b w:val="0"/>
          <w:bCs w:val="0"/>
          <w:i w:val="0"/>
          <w:iCs w:val="0"/>
          <w:caps w:val="0"/>
          <w:smallCaps w:val="0"/>
          <w:strike w:val="0"/>
          <w:outline w:val="0"/>
          <w:shadow w:val="0"/>
          <w:vanish w:val="0"/>
        </w:rPr>
      </w:lvl>
    </w:lvlOverride>
    <w:lvlOverride w:ilvl="5">
      <w:lvl w:ilvl="5">
        <w:start w:val="1"/>
        <w:numFmt w:val="decimal"/>
        <w:lvlText w:val="%1.%2.%3.%4.%5.%6"/>
        <w:legacy w:legacy="1" w:legacySpace="120" w:legacyIndent="1440"/>
        <w:lvlJc w:val="left"/>
        <w:pPr>
          <w:ind w:left="5580" w:hanging="1440"/>
        </w:pPr>
        <w:rPr>
          <w:rFonts w:ascii="Times New Roman" w:hAnsi="Times New Roman" w:cs="Times New Roman"/>
          <w:b w:val="0"/>
          <w:bCs w:val="0"/>
          <w:i w:val="0"/>
          <w:iCs w:val="0"/>
          <w:caps w:val="0"/>
          <w:smallCaps w:val="0"/>
          <w:strike w:val="0"/>
          <w:outline w:val="0"/>
          <w:shadow w:val="0"/>
          <w:vanish w:val="0"/>
        </w:rPr>
      </w:lvl>
    </w:lvlOverride>
    <w:lvlOverride w:ilvl="6">
      <w:lvl w:ilvl="6">
        <w:start w:val="1"/>
        <w:numFmt w:val="decimal"/>
        <w:lvlText w:val="%1.%2.%3.%4.%5.%6.%7"/>
        <w:legacy w:legacy="1" w:legacySpace="120" w:legacyIndent="1440"/>
        <w:lvlJc w:val="left"/>
        <w:pPr>
          <w:ind w:left="7020" w:hanging="1440"/>
        </w:pPr>
        <w:rPr>
          <w:rFonts w:ascii="Times New Roman" w:hAnsi="Times New Roman" w:cs="Times New Roman"/>
          <w:b w:val="0"/>
          <w:bCs w:val="0"/>
          <w:i w:val="0"/>
          <w:iCs w:val="0"/>
          <w:caps w:val="0"/>
          <w:smallCaps w:val="0"/>
          <w:strike w:val="0"/>
          <w:outline w:val="0"/>
          <w:shadow w:val="0"/>
          <w:vanish w:val="0"/>
        </w:rPr>
      </w:lvl>
    </w:lvlOverride>
    <w:lvlOverride w:ilvl="7">
      <w:lvl w:ilvl="7">
        <w:start w:val="1"/>
        <w:numFmt w:val="decimal"/>
        <w:lvlText w:val="%1.%2.%3.%4.%5.%6.%7.%8"/>
        <w:legacy w:legacy="1" w:legacySpace="120" w:legacyIndent="1800"/>
        <w:lvlJc w:val="left"/>
        <w:pPr>
          <w:ind w:left="8820" w:hanging="1800"/>
        </w:pPr>
        <w:rPr>
          <w:rFonts w:ascii="Times New Roman" w:hAnsi="Times New Roman" w:cs="Times New Roman"/>
          <w:b w:val="0"/>
          <w:bCs w:val="0"/>
          <w:i w:val="0"/>
          <w:iCs w:val="0"/>
          <w:caps w:val="0"/>
          <w:smallCaps w:val="0"/>
          <w:strike w:val="0"/>
          <w:outline w:val="0"/>
          <w:shadow w:val="0"/>
          <w:vanish w:val="0"/>
        </w:rPr>
      </w:lvl>
    </w:lvlOverride>
    <w:lvlOverride w:ilvl="8">
      <w:lvl w:ilvl="8">
        <w:start w:val="1"/>
        <w:numFmt w:val="decimal"/>
        <w:lvlText w:val="%1.%2.%3.%4.%5.%6.%7.%8.%9"/>
        <w:legacy w:legacy="1" w:legacySpace="120" w:legacyIndent="2160"/>
        <w:lvlJc w:val="left"/>
        <w:pPr>
          <w:ind w:left="10980" w:hanging="2160"/>
        </w:pPr>
        <w:rPr>
          <w:rFonts w:ascii="Times New Roman" w:hAnsi="Times New Roman" w:cs="Times New Roman"/>
          <w:b w:val="0"/>
          <w:bCs w:val="0"/>
          <w:i w:val="0"/>
          <w:iCs w:val="0"/>
          <w:caps w:val="0"/>
          <w:smallCaps w:val="0"/>
          <w:strike w:val="0"/>
          <w:outline w:val="0"/>
          <w:shadow w:val="0"/>
          <w:vanish w:val="0"/>
        </w:rPr>
      </w:lvl>
    </w:lvlOverride>
  </w:num>
  <w:num w:numId="13">
    <w:abstractNumId w:val="1"/>
  </w:num>
  <w:num w:numId="14">
    <w:abstractNumId w:val="3"/>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FELayout/>
  </w:compat>
  <w:rsids>
    <w:rsidRoot w:val="00C44EF7"/>
    <w:rsid w:val="000F5140"/>
    <w:rsid w:val="00523706"/>
    <w:rsid w:val="006C60E2"/>
    <w:rsid w:val="00816124"/>
    <w:rsid w:val="0088021B"/>
    <w:rsid w:val="008B7E9D"/>
    <w:rsid w:val="00AE24A8"/>
    <w:rsid w:val="00B45E56"/>
    <w:rsid w:val="00BD276B"/>
    <w:rsid w:val="00C44EF7"/>
    <w:rsid w:val="00E56D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45E56"/>
    <w:pPr>
      <w:autoSpaceDE w:val="0"/>
      <w:autoSpaceDN w:val="0"/>
      <w:spacing w:after="0" w:line="240" w:lineRule="auto"/>
    </w:pPr>
    <w:rPr>
      <w:rFonts w:ascii="Times New Roman" w:hAnsi="Times New Roman" w:cs="Times New Roman"/>
      <w:sz w:val="24"/>
      <w:szCs w:val="24"/>
      <w:lang w:val="en-GB"/>
    </w:rPr>
  </w:style>
  <w:style w:type="paragraph" w:styleId="Heading1">
    <w:name w:val="heading 1"/>
    <w:basedOn w:val="Normal"/>
    <w:next w:val="Normal"/>
    <w:link w:val="Heading1Char"/>
    <w:uiPriority w:val="99"/>
    <w:qFormat/>
    <w:rsid w:val="00B45E56"/>
    <w:pPr>
      <w:keepNext/>
      <w:widowControl w:val="0"/>
      <w:jc w:val="both"/>
      <w:outlineLvl w:val="0"/>
    </w:pPr>
    <w:rPr>
      <w:sz w:val="28"/>
      <w:szCs w:val="28"/>
      <w:lang w:val="en-US"/>
    </w:rPr>
  </w:style>
  <w:style w:type="paragraph" w:styleId="Heading2">
    <w:name w:val="heading 2"/>
    <w:basedOn w:val="Normal"/>
    <w:next w:val="Normal"/>
    <w:link w:val="Heading2Char"/>
    <w:uiPriority w:val="99"/>
    <w:qFormat/>
    <w:rsid w:val="00B45E56"/>
    <w:pPr>
      <w:keepNext/>
      <w:widowControl w:val="0"/>
      <w:jc w:val="both"/>
      <w:outlineLvl w:val="1"/>
    </w:pPr>
    <w:rPr>
      <w:b/>
      <w:bCs/>
      <w:sz w:val="32"/>
      <w:szCs w:val="32"/>
      <w:lang w:val="en-US"/>
    </w:rPr>
  </w:style>
  <w:style w:type="paragraph" w:styleId="Heading3">
    <w:name w:val="heading 3"/>
    <w:basedOn w:val="Normal"/>
    <w:next w:val="Normal"/>
    <w:link w:val="Heading3Char"/>
    <w:uiPriority w:val="99"/>
    <w:qFormat/>
    <w:rsid w:val="00B45E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45E56"/>
    <w:pPr>
      <w:keepNext/>
      <w:outlineLvl w:val="3"/>
    </w:pPr>
    <w:rPr>
      <w:sz w:val="28"/>
      <w:szCs w:val="28"/>
    </w:rPr>
  </w:style>
  <w:style w:type="paragraph" w:styleId="Heading5">
    <w:name w:val="heading 5"/>
    <w:basedOn w:val="Normal"/>
    <w:next w:val="Normal"/>
    <w:link w:val="Heading5Char"/>
    <w:uiPriority w:val="99"/>
    <w:qFormat/>
    <w:rsid w:val="00B45E56"/>
    <w:pPr>
      <w:keepNext/>
      <w:spacing w:line="480" w:lineRule="auto"/>
      <w:ind w:left="300" w:firstLine="720"/>
      <w:jc w:val="both"/>
      <w:outlineLvl w:val="4"/>
    </w:pPr>
    <w:rPr>
      <w:b/>
      <w:bCs/>
      <w:sz w:val="48"/>
      <w:szCs w:val="48"/>
    </w:rPr>
  </w:style>
  <w:style w:type="paragraph" w:styleId="Heading6">
    <w:name w:val="heading 6"/>
    <w:basedOn w:val="Normal"/>
    <w:next w:val="Normal"/>
    <w:link w:val="Heading6Char"/>
    <w:uiPriority w:val="99"/>
    <w:qFormat/>
    <w:rsid w:val="00B45E56"/>
    <w:pPr>
      <w:keepNext/>
      <w:ind w:left="630"/>
      <w:outlineLvl w:val="5"/>
    </w:pPr>
    <w:rPr>
      <w:sz w:val="28"/>
      <w:szCs w:val="28"/>
    </w:rPr>
  </w:style>
  <w:style w:type="paragraph" w:styleId="Heading7">
    <w:name w:val="heading 7"/>
    <w:basedOn w:val="Normal"/>
    <w:next w:val="Normal"/>
    <w:link w:val="Heading7Char"/>
    <w:uiPriority w:val="99"/>
    <w:qFormat/>
    <w:rsid w:val="00B45E56"/>
    <w:pPr>
      <w:keepNext/>
      <w:keepLines/>
      <w:spacing w:line="480" w:lineRule="auto"/>
      <w:jc w:val="both"/>
      <w:outlineLvl w:val="6"/>
    </w:pPr>
    <w:rPr>
      <w:sz w:val="28"/>
      <w:szCs w:val="28"/>
      <w:u w:val="double"/>
    </w:rPr>
  </w:style>
  <w:style w:type="paragraph" w:styleId="Heading8">
    <w:name w:val="heading 8"/>
    <w:basedOn w:val="Normal"/>
    <w:next w:val="Normal"/>
    <w:link w:val="Heading8Char"/>
    <w:uiPriority w:val="99"/>
    <w:qFormat/>
    <w:rsid w:val="00B45E56"/>
    <w:pPr>
      <w:keepNext/>
      <w:keepLines/>
      <w:spacing w:line="480" w:lineRule="auto"/>
      <w:jc w:val="both"/>
      <w:outlineLvl w:val="7"/>
    </w:pPr>
    <w:rPr>
      <w:b/>
      <w:bCs/>
      <w:sz w:val="28"/>
      <w:szCs w:val="28"/>
    </w:rPr>
  </w:style>
  <w:style w:type="paragraph" w:styleId="Heading9">
    <w:name w:val="heading 9"/>
    <w:basedOn w:val="Normal"/>
    <w:next w:val="Normal"/>
    <w:link w:val="Heading9Char"/>
    <w:uiPriority w:val="99"/>
    <w:qFormat/>
    <w:rsid w:val="00B45E56"/>
    <w:pPr>
      <w:keepNext/>
      <w:spacing w:line="480" w:lineRule="auto"/>
      <w:jc w:val="both"/>
      <w:outlineLvl w:val="8"/>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E5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45E5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45E5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45E56"/>
    <w:rPr>
      <w:b/>
      <w:bCs/>
      <w:sz w:val="28"/>
      <w:szCs w:val="28"/>
      <w:lang w:val="en-GB"/>
    </w:rPr>
  </w:style>
  <w:style w:type="character" w:customStyle="1" w:styleId="Heading5Char">
    <w:name w:val="Heading 5 Char"/>
    <w:basedOn w:val="DefaultParagraphFont"/>
    <w:link w:val="Heading5"/>
    <w:uiPriority w:val="9"/>
    <w:semiHidden/>
    <w:rsid w:val="00B45E56"/>
    <w:rPr>
      <w:b/>
      <w:bCs/>
      <w:i/>
      <w:iCs/>
      <w:sz w:val="26"/>
      <w:szCs w:val="26"/>
      <w:lang w:val="en-GB"/>
    </w:rPr>
  </w:style>
  <w:style w:type="character" w:customStyle="1" w:styleId="Heading6Char">
    <w:name w:val="Heading 6 Char"/>
    <w:basedOn w:val="DefaultParagraphFont"/>
    <w:link w:val="Heading6"/>
    <w:uiPriority w:val="9"/>
    <w:semiHidden/>
    <w:rsid w:val="00B45E56"/>
    <w:rPr>
      <w:b/>
      <w:bCs/>
      <w:lang w:val="en-GB"/>
    </w:rPr>
  </w:style>
  <w:style w:type="character" w:customStyle="1" w:styleId="Heading7Char">
    <w:name w:val="Heading 7 Char"/>
    <w:basedOn w:val="DefaultParagraphFont"/>
    <w:link w:val="Heading7"/>
    <w:uiPriority w:val="9"/>
    <w:semiHidden/>
    <w:rsid w:val="00B45E56"/>
    <w:rPr>
      <w:sz w:val="24"/>
      <w:szCs w:val="24"/>
      <w:lang w:val="en-GB"/>
    </w:rPr>
  </w:style>
  <w:style w:type="character" w:customStyle="1" w:styleId="Heading8Char">
    <w:name w:val="Heading 8 Char"/>
    <w:basedOn w:val="DefaultParagraphFont"/>
    <w:link w:val="Heading8"/>
    <w:uiPriority w:val="9"/>
    <w:semiHidden/>
    <w:rsid w:val="00B45E56"/>
    <w:rPr>
      <w:i/>
      <w:iCs/>
      <w:sz w:val="24"/>
      <w:szCs w:val="24"/>
      <w:lang w:val="en-GB"/>
    </w:rPr>
  </w:style>
  <w:style w:type="character" w:customStyle="1" w:styleId="Heading9Char">
    <w:name w:val="Heading 9 Char"/>
    <w:basedOn w:val="DefaultParagraphFont"/>
    <w:link w:val="Heading9"/>
    <w:uiPriority w:val="9"/>
    <w:semiHidden/>
    <w:rsid w:val="00B45E56"/>
    <w:rPr>
      <w:rFonts w:asciiTheme="majorHAnsi" w:eastAsiaTheme="majorEastAsia" w:hAnsiTheme="majorHAnsi" w:cstheme="majorBidi"/>
      <w:lang w:val="en-GB"/>
    </w:rPr>
  </w:style>
  <w:style w:type="paragraph" w:styleId="Index1">
    <w:name w:val="index 1"/>
    <w:basedOn w:val="Normal"/>
    <w:next w:val="Normal"/>
    <w:autoRedefine/>
    <w:uiPriority w:val="99"/>
    <w:rsid w:val="00B45E56"/>
    <w:pPr>
      <w:ind w:left="240" w:hanging="240"/>
    </w:pPr>
  </w:style>
  <w:style w:type="paragraph" w:styleId="Index2">
    <w:name w:val="index 2"/>
    <w:basedOn w:val="Normal"/>
    <w:next w:val="Normal"/>
    <w:autoRedefine/>
    <w:uiPriority w:val="99"/>
    <w:rsid w:val="00B45E56"/>
    <w:pPr>
      <w:ind w:left="480" w:hanging="240"/>
    </w:pPr>
  </w:style>
  <w:style w:type="paragraph" w:styleId="Index3">
    <w:name w:val="index 3"/>
    <w:basedOn w:val="Normal"/>
    <w:next w:val="Normal"/>
    <w:autoRedefine/>
    <w:uiPriority w:val="99"/>
    <w:rsid w:val="00B45E56"/>
    <w:pPr>
      <w:ind w:left="720" w:hanging="240"/>
    </w:pPr>
  </w:style>
  <w:style w:type="paragraph" w:styleId="Index4">
    <w:name w:val="index 4"/>
    <w:basedOn w:val="Normal"/>
    <w:next w:val="Normal"/>
    <w:autoRedefine/>
    <w:uiPriority w:val="99"/>
    <w:rsid w:val="00B45E56"/>
    <w:pPr>
      <w:ind w:left="960" w:hanging="240"/>
    </w:pPr>
  </w:style>
  <w:style w:type="paragraph" w:styleId="Index5">
    <w:name w:val="index 5"/>
    <w:basedOn w:val="Normal"/>
    <w:next w:val="Normal"/>
    <w:autoRedefine/>
    <w:uiPriority w:val="99"/>
    <w:rsid w:val="00B45E56"/>
    <w:pPr>
      <w:ind w:left="1200" w:hanging="240"/>
    </w:pPr>
  </w:style>
  <w:style w:type="paragraph" w:styleId="Index6">
    <w:name w:val="index 6"/>
    <w:basedOn w:val="Normal"/>
    <w:next w:val="Normal"/>
    <w:autoRedefine/>
    <w:uiPriority w:val="99"/>
    <w:rsid w:val="00B45E56"/>
    <w:pPr>
      <w:ind w:left="1440" w:hanging="240"/>
    </w:pPr>
  </w:style>
  <w:style w:type="paragraph" w:styleId="Index7">
    <w:name w:val="index 7"/>
    <w:basedOn w:val="Normal"/>
    <w:next w:val="Normal"/>
    <w:autoRedefine/>
    <w:uiPriority w:val="99"/>
    <w:rsid w:val="00B45E56"/>
    <w:pPr>
      <w:ind w:left="1680" w:hanging="240"/>
    </w:pPr>
  </w:style>
  <w:style w:type="paragraph" w:styleId="Index8">
    <w:name w:val="index 8"/>
    <w:basedOn w:val="Normal"/>
    <w:next w:val="Normal"/>
    <w:autoRedefine/>
    <w:uiPriority w:val="99"/>
    <w:rsid w:val="00B45E56"/>
    <w:pPr>
      <w:ind w:left="1920" w:hanging="240"/>
    </w:pPr>
  </w:style>
  <w:style w:type="paragraph" w:styleId="Index9">
    <w:name w:val="index 9"/>
    <w:basedOn w:val="Normal"/>
    <w:next w:val="Normal"/>
    <w:autoRedefine/>
    <w:uiPriority w:val="99"/>
    <w:rsid w:val="00B45E56"/>
    <w:pPr>
      <w:ind w:left="2160" w:hanging="240"/>
    </w:pPr>
  </w:style>
  <w:style w:type="paragraph" w:styleId="IndexHeading">
    <w:name w:val="index heading"/>
    <w:basedOn w:val="Normal"/>
    <w:next w:val="Index1"/>
    <w:uiPriority w:val="99"/>
    <w:rsid w:val="00B45E56"/>
  </w:style>
  <w:style w:type="paragraph" w:styleId="BodyText">
    <w:name w:val="Body Text"/>
    <w:basedOn w:val="Normal"/>
    <w:link w:val="BodyTextChar"/>
    <w:uiPriority w:val="99"/>
    <w:rsid w:val="00B45E56"/>
    <w:pPr>
      <w:jc w:val="center"/>
    </w:pPr>
    <w:rPr>
      <w:sz w:val="36"/>
      <w:szCs w:val="36"/>
    </w:rPr>
  </w:style>
  <w:style w:type="character" w:customStyle="1" w:styleId="BodyTextChar">
    <w:name w:val="Body Text Char"/>
    <w:basedOn w:val="DefaultParagraphFont"/>
    <w:link w:val="BodyText"/>
    <w:uiPriority w:val="99"/>
    <w:semiHidden/>
    <w:rsid w:val="00B45E56"/>
    <w:rPr>
      <w:rFonts w:ascii="Times New Roman" w:hAnsi="Times New Roman" w:cs="Times New Roman"/>
      <w:sz w:val="24"/>
      <w:szCs w:val="24"/>
      <w:lang w:val="en-GB"/>
    </w:rPr>
  </w:style>
  <w:style w:type="paragraph" w:styleId="DocumentMap">
    <w:name w:val="Document Map"/>
    <w:basedOn w:val="Normal"/>
    <w:link w:val="DocumentMapChar"/>
    <w:uiPriority w:val="99"/>
    <w:rsid w:val="00B45E56"/>
    <w:pPr>
      <w:shd w:val="clear" w:color="auto" w:fill="000080"/>
    </w:pPr>
    <w:rPr>
      <w:rFonts w:ascii="Tahoma" w:hAnsi="Tahoma" w:cs="Tahoma"/>
      <w:b/>
      <w:bCs/>
      <w:i/>
      <w:iCs/>
      <w:outline/>
    </w:rPr>
  </w:style>
  <w:style w:type="character" w:customStyle="1" w:styleId="DocumentMapChar">
    <w:name w:val="Document Map Char"/>
    <w:basedOn w:val="DefaultParagraphFont"/>
    <w:link w:val="DocumentMap"/>
    <w:uiPriority w:val="99"/>
    <w:semiHidden/>
    <w:rsid w:val="00B45E56"/>
    <w:rPr>
      <w:rFonts w:ascii="Tahoma" w:hAnsi="Tahoma" w:cs="Tahoma"/>
      <w:sz w:val="16"/>
      <w:szCs w:val="16"/>
      <w:lang w:val="en-GB"/>
    </w:rPr>
  </w:style>
  <w:style w:type="paragraph" w:styleId="Title">
    <w:name w:val="Title"/>
    <w:basedOn w:val="Normal"/>
    <w:link w:val="TitleChar"/>
    <w:uiPriority w:val="99"/>
    <w:qFormat/>
    <w:rsid w:val="00B45E56"/>
    <w:pPr>
      <w:widowControl w:val="0"/>
      <w:jc w:val="center"/>
    </w:pPr>
    <w:rPr>
      <w:b/>
      <w:bCs/>
      <w:sz w:val="40"/>
      <w:szCs w:val="40"/>
      <w:lang w:val="en-US"/>
    </w:rPr>
  </w:style>
  <w:style w:type="character" w:customStyle="1" w:styleId="TitleChar">
    <w:name w:val="Title Char"/>
    <w:basedOn w:val="DefaultParagraphFont"/>
    <w:link w:val="Title"/>
    <w:uiPriority w:val="10"/>
    <w:rsid w:val="00B45E5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B45E56"/>
    <w:pPr>
      <w:widowControl w:val="0"/>
      <w:ind w:left="426" w:hanging="426"/>
      <w:jc w:val="both"/>
    </w:pPr>
    <w:rPr>
      <w:sz w:val="28"/>
      <w:szCs w:val="28"/>
      <w:lang w:val="en-US"/>
    </w:rPr>
  </w:style>
  <w:style w:type="character" w:customStyle="1" w:styleId="BodyTextIndent2Char">
    <w:name w:val="Body Text Indent 2 Char"/>
    <w:basedOn w:val="DefaultParagraphFont"/>
    <w:link w:val="BodyTextIndent2"/>
    <w:uiPriority w:val="99"/>
    <w:semiHidden/>
    <w:rsid w:val="00B45E56"/>
    <w:rPr>
      <w:rFonts w:ascii="Times New Roman" w:hAnsi="Times New Roman" w:cs="Times New Roman"/>
      <w:sz w:val="24"/>
      <w:szCs w:val="24"/>
      <w:lang w:val="en-GB"/>
    </w:rPr>
  </w:style>
  <w:style w:type="paragraph" w:styleId="BodyText2">
    <w:name w:val="Body Text 2"/>
    <w:basedOn w:val="Normal"/>
    <w:link w:val="BodyText2Char"/>
    <w:uiPriority w:val="99"/>
    <w:rsid w:val="00B45E56"/>
    <w:rPr>
      <w:rFonts w:ascii="Arial" w:hAnsi="Arial" w:cs="Arial"/>
      <w:sz w:val="20"/>
      <w:szCs w:val="20"/>
    </w:rPr>
  </w:style>
  <w:style w:type="character" w:customStyle="1" w:styleId="BodyText2Char">
    <w:name w:val="Body Text 2 Char"/>
    <w:basedOn w:val="DefaultParagraphFont"/>
    <w:link w:val="BodyText2"/>
    <w:uiPriority w:val="99"/>
    <w:semiHidden/>
    <w:rsid w:val="00B45E56"/>
    <w:rPr>
      <w:rFonts w:ascii="Times New Roman" w:hAnsi="Times New Roman" w:cs="Times New Roman"/>
      <w:sz w:val="24"/>
      <w:szCs w:val="24"/>
      <w:lang w:val="en-GB"/>
    </w:rPr>
  </w:style>
  <w:style w:type="paragraph" w:styleId="BodyTextIndent3">
    <w:name w:val="Body Text Indent 3"/>
    <w:basedOn w:val="Normal"/>
    <w:link w:val="BodyTextIndent3Char"/>
    <w:uiPriority w:val="99"/>
    <w:rsid w:val="00B45E56"/>
    <w:pPr>
      <w:widowControl w:val="0"/>
      <w:ind w:left="567" w:hanging="567"/>
      <w:jc w:val="both"/>
    </w:pPr>
    <w:rPr>
      <w:sz w:val="28"/>
      <w:szCs w:val="28"/>
      <w:lang w:val="en-US"/>
    </w:rPr>
  </w:style>
  <w:style w:type="character" w:customStyle="1" w:styleId="BodyTextIndent3Char">
    <w:name w:val="Body Text Indent 3 Char"/>
    <w:basedOn w:val="DefaultParagraphFont"/>
    <w:link w:val="BodyTextIndent3"/>
    <w:uiPriority w:val="99"/>
    <w:semiHidden/>
    <w:rsid w:val="00B45E56"/>
    <w:rPr>
      <w:rFonts w:ascii="Times New Roman" w:hAnsi="Times New Roman" w:cs="Times New Roman"/>
      <w:sz w:val="16"/>
      <w:szCs w:val="16"/>
      <w:lang w:val="en-GB"/>
    </w:rPr>
  </w:style>
  <w:style w:type="paragraph" w:styleId="Header">
    <w:name w:val="header"/>
    <w:basedOn w:val="Normal"/>
    <w:link w:val="HeaderChar"/>
    <w:uiPriority w:val="99"/>
    <w:rsid w:val="00B45E56"/>
    <w:pPr>
      <w:tabs>
        <w:tab w:val="center" w:pos="4153"/>
        <w:tab w:val="right" w:pos="8306"/>
      </w:tabs>
    </w:pPr>
  </w:style>
  <w:style w:type="character" w:customStyle="1" w:styleId="HeaderChar">
    <w:name w:val="Header Char"/>
    <w:basedOn w:val="DefaultParagraphFont"/>
    <w:link w:val="Header"/>
    <w:uiPriority w:val="99"/>
    <w:rsid w:val="00B45E56"/>
    <w:rPr>
      <w:rFonts w:ascii="Times New Roman" w:hAnsi="Times New Roman" w:cs="Times New Roman"/>
      <w:sz w:val="24"/>
      <w:szCs w:val="24"/>
      <w:lang w:val="en-GB"/>
    </w:rPr>
  </w:style>
  <w:style w:type="paragraph" w:styleId="Footer">
    <w:name w:val="footer"/>
    <w:basedOn w:val="Normal"/>
    <w:link w:val="FooterChar"/>
    <w:uiPriority w:val="99"/>
    <w:rsid w:val="00B45E56"/>
    <w:pPr>
      <w:tabs>
        <w:tab w:val="center" w:pos="4153"/>
        <w:tab w:val="right" w:pos="8306"/>
      </w:tabs>
    </w:pPr>
  </w:style>
  <w:style w:type="character" w:customStyle="1" w:styleId="FooterChar">
    <w:name w:val="Footer Char"/>
    <w:basedOn w:val="DefaultParagraphFont"/>
    <w:link w:val="Footer"/>
    <w:uiPriority w:val="99"/>
    <w:semiHidden/>
    <w:rsid w:val="00B45E56"/>
    <w:rPr>
      <w:rFonts w:ascii="Times New Roman" w:hAnsi="Times New Roman" w:cs="Times New Roman"/>
      <w:sz w:val="24"/>
      <w:szCs w:val="24"/>
      <w:lang w:val="en-GB"/>
    </w:rPr>
  </w:style>
  <w:style w:type="character" w:styleId="PageNumber">
    <w:name w:val="page number"/>
    <w:basedOn w:val="DefaultParagraphFont"/>
    <w:uiPriority w:val="99"/>
    <w:rsid w:val="00B45E56"/>
  </w:style>
  <w:style w:type="paragraph" w:styleId="BodyText3">
    <w:name w:val="Body Text 3"/>
    <w:basedOn w:val="Normal"/>
    <w:link w:val="BodyText3Char"/>
    <w:uiPriority w:val="99"/>
    <w:rsid w:val="00B45E56"/>
    <w:pPr>
      <w:jc w:val="both"/>
    </w:pPr>
    <w:rPr>
      <w:rFonts w:ascii="Arial" w:hAnsi="Arial" w:cs="Arial"/>
      <w:sz w:val="20"/>
      <w:szCs w:val="20"/>
    </w:rPr>
  </w:style>
  <w:style w:type="character" w:customStyle="1" w:styleId="BodyText3Char">
    <w:name w:val="Body Text 3 Char"/>
    <w:basedOn w:val="DefaultParagraphFont"/>
    <w:link w:val="BodyText3"/>
    <w:uiPriority w:val="99"/>
    <w:semiHidden/>
    <w:rsid w:val="00B45E56"/>
    <w:rPr>
      <w:rFonts w:ascii="Times New Roman" w:hAnsi="Times New Roman" w:cs="Times New Roman"/>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40" w:lineRule="auto"/>
    </w:pPr>
    <w:rPr>
      <w:rFonts w:ascii="Times New Roman" w:hAnsi="Times New Roman" w:cs="Times New Roman"/>
      <w:sz w:val="24"/>
      <w:szCs w:val="24"/>
      <w:lang w:val="en-GB"/>
    </w:rPr>
  </w:style>
  <w:style w:type="paragraph" w:styleId="Heading1">
    <w:name w:val="heading 1"/>
    <w:basedOn w:val="Normal"/>
    <w:next w:val="Normal"/>
    <w:link w:val="Heading1Char"/>
    <w:uiPriority w:val="99"/>
    <w:qFormat/>
    <w:pPr>
      <w:keepNext/>
      <w:widowControl w:val="0"/>
      <w:jc w:val="both"/>
      <w:outlineLvl w:val="0"/>
    </w:pPr>
    <w:rPr>
      <w:sz w:val="28"/>
      <w:szCs w:val="28"/>
      <w:lang w:val="en-US"/>
    </w:rPr>
  </w:style>
  <w:style w:type="paragraph" w:styleId="Heading2">
    <w:name w:val="heading 2"/>
    <w:basedOn w:val="Normal"/>
    <w:next w:val="Normal"/>
    <w:link w:val="Heading2Char"/>
    <w:uiPriority w:val="99"/>
    <w:qFormat/>
    <w:pPr>
      <w:keepNext/>
      <w:widowControl w:val="0"/>
      <w:jc w:val="both"/>
      <w:outlineLvl w:val="1"/>
    </w:pPr>
    <w:rPr>
      <w:b/>
      <w:bCs/>
      <w:sz w:val="32"/>
      <w:szCs w:val="32"/>
      <w:lang w:val="en-U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outlineLvl w:val="3"/>
    </w:pPr>
    <w:rPr>
      <w:sz w:val="28"/>
      <w:szCs w:val="28"/>
    </w:rPr>
  </w:style>
  <w:style w:type="paragraph" w:styleId="Heading5">
    <w:name w:val="heading 5"/>
    <w:basedOn w:val="Normal"/>
    <w:next w:val="Normal"/>
    <w:link w:val="Heading5Char"/>
    <w:uiPriority w:val="99"/>
    <w:qFormat/>
    <w:pPr>
      <w:keepNext/>
      <w:spacing w:line="480" w:lineRule="auto"/>
      <w:ind w:left="300" w:firstLine="720"/>
      <w:jc w:val="both"/>
      <w:outlineLvl w:val="4"/>
    </w:pPr>
    <w:rPr>
      <w:b/>
      <w:bCs/>
      <w:sz w:val="48"/>
      <w:szCs w:val="48"/>
    </w:rPr>
  </w:style>
  <w:style w:type="paragraph" w:styleId="Heading6">
    <w:name w:val="heading 6"/>
    <w:basedOn w:val="Normal"/>
    <w:next w:val="Normal"/>
    <w:link w:val="Heading6Char"/>
    <w:uiPriority w:val="99"/>
    <w:qFormat/>
    <w:pPr>
      <w:keepNext/>
      <w:ind w:left="630"/>
      <w:outlineLvl w:val="5"/>
    </w:pPr>
    <w:rPr>
      <w:sz w:val="28"/>
      <w:szCs w:val="28"/>
    </w:rPr>
  </w:style>
  <w:style w:type="paragraph" w:styleId="Heading7">
    <w:name w:val="heading 7"/>
    <w:basedOn w:val="Normal"/>
    <w:next w:val="Normal"/>
    <w:link w:val="Heading7Char"/>
    <w:uiPriority w:val="99"/>
    <w:qFormat/>
    <w:pPr>
      <w:keepNext/>
      <w:keepLines/>
      <w:spacing w:line="480" w:lineRule="auto"/>
      <w:jc w:val="both"/>
      <w:outlineLvl w:val="6"/>
    </w:pPr>
    <w:rPr>
      <w:sz w:val="28"/>
      <w:szCs w:val="28"/>
      <w:u w:val="double"/>
    </w:rPr>
  </w:style>
  <w:style w:type="paragraph" w:styleId="Heading8">
    <w:name w:val="heading 8"/>
    <w:basedOn w:val="Normal"/>
    <w:next w:val="Normal"/>
    <w:link w:val="Heading8Char"/>
    <w:uiPriority w:val="99"/>
    <w:qFormat/>
    <w:pPr>
      <w:keepNext/>
      <w:keepLines/>
      <w:spacing w:line="480" w:lineRule="auto"/>
      <w:jc w:val="both"/>
      <w:outlineLvl w:val="7"/>
    </w:pPr>
    <w:rPr>
      <w:b/>
      <w:bCs/>
      <w:sz w:val="28"/>
      <w:szCs w:val="28"/>
    </w:rPr>
  </w:style>
  <w:style w:type="paragraph" w:styleId="Heading9">
    <w:name w:val="heading 9"/>
    <w:basedOn w:val="Normal"/>
    <w:next w:val="Normal"/>
    <w:link w:val="Heading9Char"/>
    <w:uiPriority w:val="99"/>
    <w:qFormat/>
    <w:pPr>
      <w:keepNext/>
      <w:spacing w:line="480" w:lineRule="auto"/>
      <w:jc w:val="both"/>
      <w:outlineLvl w:val="8"/>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Pr>
      <w:b/>
      <w:bCs/>
      <w:sz w:val="28"/>
      <w:szCs w:val="28"/>
      <w:lang w:val="en-GB"/>
    </w:rPr>
  </w:style>
  <w:style w:type="character" w:customStyle="1" w:styleId="Heading5Char">
    <w:name w:val="Heading 5 Char"/>
    <w:basedOn w:val="DefaultParagraphFont"/>
    <w:link w:val="Heading5"/>
    <w:uiPriority w:val="9"/>
    <w:semiHidden/>
    <w:rPr>
      <w:b/>
      <w:bCs/>
      <w:i/>
      <w:iCs/>
      <w:sz w:val="26"/>
      <w:szCs w:val="26"/>
      <w:lang w:val="en-GB"/>
    </w:rPr>
  </w:style>
  <w:style w:type="character" w:customStyle="1" w:styleId="Heading6Char">
    <w:name w:val="Heading 6 Char"/>
    <w:basedOn w:val="DefaultParagraphFont"/>
    <w:link w:val="Heading6"/>
    <w:uiPriority w:val="9"/>
    <w:semiHidden/>
    <w:rPr>
      <w:b/>
      <w:bCs/>
      <w:lang w:val="en-GB"/>
    </w:rPr>
  </w:style>
  <w:style w:type="character" w:customStyle="1" w:styleId="Heading7Char">
    <w:name w:val="Heading 7 Char"/>
    <w:basedOn w:val="DefaultParagraphFont"/>
    <w:link w:val="Heading7"/>
    <w:uiPriority w:val="9"/>
    <w:semiHidden/>
    <w:rPr>
      <w:sz w:val="24"/>
      <w:szCs w:val="24"/>
      <w:lang w:val="en-GB"/>
    </w:rPr>
  </w:style>
  <w:style w:type="character" w:customStyle="1" w:styleId="Heading8Char">
    <w:name w:val="Heading 8 Char"/>
    <w:basedOn w:val="DefaultParagraphFont"/>
    <w:link w:val="Heading8"/>
    <w:uiPriority w:val="9"/>
    <w:semiHidden/>
    <w:rPr>
      <w:i/>
      <w:iCs/>
      <w:sz w:val="24"/>
      <w:szCs w:val="24"/>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GB"/>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style>
  <w:style w:type="paragraph" w:styleId="BodyText">
    <w:name w:val="Body Text"/>
    <w:basedOn w:val="Normal"/>
    <w:link w:val="BodyTextChar"/>
    <w:uiPriority w:val="99"/>
    <w:pPr>
      <w:jc w:val="center"/>
    </w:pPr>
    <w:rPr>
      <w:sz w:val="36"/>
      <w:szCs w:val="3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val="en-GB"/>
    </w:rPr>
  </w:style>
  <w:style w:type="paragraph" w:styleId="DocumentMap">
    <w:name w:val="Document Map"/>
    <w:basedOn w:val="Normal"/>
    <w:link w:val="DocumentMapChar"/>
    <w:uiPriority w:val="99"/>
    <w:pPr>
      <w:shd w:val="clear" w:color="auto" w:fill="000080"/>
    </w:pPr>
    <w:rPr>
      <w:rFonts w:ascii="Tahoma" w:hAnsi="Tahoma" w:cs="Tahoma"/>
      <w:b/>
      <w:bCs/>
      <w:i/>
      <w:iCs/>
      <w:outline/>
      <w14:textOutline w14:w="9525" w14:cap="flat" w14:cmpd="sng" w14:algn="ctr">
        <w14:solidFill>
          <w14:srgbClr w14:val="000000"/>
        </w14:solidFill>
        <w14:prstDash w14:val="solid"/>
        <w14:round/>
      </w14:textOutline>
      <w14:textFill>
        <w14:noFill/>
      </w14:textFill>
    </w:rPr>
  </w:style>
  <w:style w:type="character" w:customStyle="1" w:styleId="DocumentMapChar">
    <w:name w:val="Document Map Char"/>
    <w:basedOn w:val="DefaultParagraphFont"/>
    <w:link w:val="DocumentMap"/>
    <w:uiPriority w:val="99"/>
    <w:semiHidden/>
    <w:rPr>
      <w:rFonts w:ascii="Tahoma" w:hAnsi="Tahoma" w:cs="Tahoma"/>
      <w:sz w:val="16"/>
      <w:szCs w:val="16"/>
      <w:lang w:val="en-GB"/>
    </w:rPr>
  </w:style>
  <w:style w:type="paragraph" w:styleId="Title">
    <w:name w:val="Title"/>
    <w:basedOn w:val="Normal"/>
    <w:link w:val="TitleChar"/>
    <w:uiPriority w:val="99"/>
    <w:qFormat/>
    <w:pPr>
      <w:widowControl w:val="0"/>
      <w:jc w:val="center"/>
    </w:pPr>
    <w:rPr>
      <w:b/>
      <w:bCs/>
      <w:sz w:val="40"/>
      <w:szCs w:val="40"/>
      <w:lang w:val="en-U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pPr>
      <w:widowControl w:val="0"/>
      <w:ind w:left="426" w:hanging="426"/>
      <w:jc w:val="both"/>
    </w:pPr>
    <w:rPr>
      <w:sz w:val="28"/>
      <w:szCs w:val="28"/>
      <w:lang w:val="en-US"/>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GB"/>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val="en-GB"/>
    </w:rPr>
  </w:style>
  <w:style w:type="paragraph" w:styleId="BodyTextIndent3">
    <w:name w:val="Body Text Indent 3"/>
    <w:basedOn w:val="Normal"/>
    <w:link w:val="BodyTextIndent3Char"/>
    <w:uiPriority w:val="99"/>
    <w:pPr>
      <w:widowControl w:val="0"/>
      <w:ind w:left="567" w:hanging="567"/>
      <w:jc w:val="both"/>
    </w:pPr>
    <w:rPr>
      <w:sz w:val="28"/>
      <w:szCs w:val="28"/>
      <w:lang w:val="en-US"/>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GB"/>
    </w:rPr>
  </w:style>
  <w:style w:type="character" w:styleId="PageNumber">
    <w:name w:val="page number"/>
    <w:basedOn w:val="DefaultParagraphFont"/>
    <w:uiPriority w:val="99"/>
  </w:style>
  <w:style w:type="paragraph" w:styleId="BodyText3">
    <w:name w:val="Body Text 3"/>
    <w:basedOn w:val="Normal"/>
    <w:link w:val="BodyText3Char"/>
    <w:uiPriority w:val="99"/>
    <w:pPr>
      <w:jc w:val="both"/>
    </w:pPr>
    <w:rPr>
      <w:rFonts w:ascii="Arial" w:hAnsi="Arial" w:cs="Arial"/>
      <w:sz w:val="20"/>
      <w:szCs w:val="20"/>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lgn="l">
              <a:defRPr lang="ar-EG" sz="798" b="0" i="0" u="none" strike="noStrike" baseline="0">
                <a:solidFill>
                  <a:srgbClr val="000000"/>
                </a:solidFill>
                <a:latin typeface="Arial"/>
                <a:ea typeface="Arial"/>
                <a:cs typeface="Arial"/>
              </a:defRPr>
            </a:pPr>
            <a:r>
              <a:rPr lang="en-US" sz="799" b="1" i="0" u="none" strike="noStrike" baseline="0">
                <a:solidFill>
                  <a:srgbClr val="000000"/>
                </a:solidFill>
                <a:latin typeface="Arial"/>
                <a:cs typeface="Arial"/>
              </a:rPr>
              <a:t>Figure(1):</a:t>
            </a:r>
          </a:p>
          <a:p>
            <a:pPr algn="l">
              <a:defRPr lang="ar-EG" sz="798" b="0" i="0" u="none" strike="noStrike" baseline="0">
                <a:solidFill>
                  <a:srgbClr val="000000"/>
                </a:solidFill>
                <a:latin typeface="Arial"/>
                <a:ea typeface="Arial"/>
                <a:cs typeface="Arial"/>
              </a:defRPr>
            </a:pPr>
            <a:r>
              <a:rPr lang="en-US" sz="600" b="1" i="0" u="none" strike="noStrike" baseline="0">
                <a:solidFill>
                  <a:srgbClr val="000000"/>
                </a:solidFill>
                <a:latin typeface="Arial"/>
                <a:cs typeface="Arial"/>
              </a:rPr>
              <a:t>Survivability of </a:t>
            </a:r>
            <a:r>
              <a:rPr lang="en-US" sz="600" b="1" i="1" u="none" strike="noStrike" baseline="0">
                <a:solidFill>
                  <a:srgbClr val="000000"/>
                </a:solidFill>
                <a:latin typeface="Arial"/>
                <a:cs typeface="Arial"/>
              </a:rPr>
              <a:t>S. furgipedra</a:t>
            </a:r>
            <a:r>
              <a:rPr lang="en-US" sz="600" b="1" i="0" u="none" strike="noStrike" baseline="0">
                <a:solidFill>
                  <a:srgbClr val="000000"/>
                </a:solidFill>
                <a:latin typeface="Arial"/>
                <a:cs typeface="Arial"/>
              </a:rPr>
              <a:t> SF9 cells  due to the effect of the B-Phenylpyruvic acid (B-Ph.) or Hematoporphyrin (H.) with or without (control) UV light.</a:t>
            </a:r>
          </a:p>
        </c:rich>
      </c:tx>
      <c:layout>
        <c:manualLayout>
          <c:xMode val="edge"/>
          <c:yMode val="edge"/>
          <c:x val="0.1432511729234979"/>
          <c:y val="2.645498117083191E-2"/>
        </c:manualLayout>
      </c:layout>
      <c:spPr>
        <a:noFill/>
        <a:ln w="25383">
          <a:noFill/>
        </a:ln>
      </c:spPr>
    </c:title>
    <c:plotArea>
      <c:layout>
        <c:manualLayout>
          <c:layoutTarget val="inner"/>
          <c:xMode val="edge"/>
          <c:yMode val="edge"/>
          <c:x val="0.19283798434805535"/>
          <c:y val="0.27248747645780758"/>
          <c:w val="0.57575912469633672"/>
          <c:h val="0.5873031045983812"/>
        </c:manualLayout>
      </c:layout>
      <c:scatterChart>
        <c:scatterStyle val="smoothMarker"/>
        <c:ser>
          <c:idx val="0"/>
          <c:order val="0"/>
          <c:tx>
            <c:strRef>
              <c:f>Sheet2!$B$1</c:f>
              <c:strCache>
                <c:ptCount val="1"/>
                <c:pt idx="0">
                  <c:v>Control</c:v>
                </c:pt>
              </c:strCache>
            </c:strRef>
          </c:tx>
          <c:spPr>
            <a:ln w="12692">
              <a:solidFill>
                <a:srgbClr val="000080"/>
              </a:solidFill>
              <a:prstDash val="solid"/>
            </a:ln>
          </c:spPr>
          <c:marker>
            <c:symbol val="diamond"/>
            <c:size val="4"/>
            <c:spPr>
              <a:solidFill>
                <a:srgbClr val="000080"/>
              </a:solidFill>
              <a:ln>
                <a:solidFill>
                  <a:srgbClr val="000080"/>
                </a:solidFill>
                <a:prstDash val="solid"/>
              </a:ln>
            </c:spPr>
          </c:marker>
          <c:xVal>
            <c:numRef>
              <c:f>Sheet2!$A$2:$A$8</c:f>
              <c:numCache>
                <c:formatCode>General</c:formatCode>
                <c:ptCount val="7"/>
                <c:pt idx="0">
                  <c:v>5</c:v>
                </c:pt>
                <c:pt idx="1">
                  <c:v>2.5</c:v>
                </c:pt>
                <c:pt idx="2">
                  <c:v>1</c:v>
                </c:pt>
                <c:pt idx="3">
                  <c:v>0.25</c:v>
                </c:pt>
                <c:pt idx="4">
                  <c:v>0.1</c:v>
                </c:pt>
                <c:pt idx="5">
                  <c:v>1.0000000000000004E-2</c:v>
                </c:pt>
                <c:pt idx="6">
                  <c:v>1.0000000000000005E-3</c:v>
                </c:pt>
              </c:numCache>
            </c:numRef>
          </c:xVal>
          <c:yVal>
            <c:numRef>
              <c:f>Sheet2!$B$2:$B$8</c:f>
              <c:numCache>
                <c:formatCode>General</c:formatCode>
                <c:ptCount val="7"/>
                <c:pt idx="0">
                  <c:v>55.3</c:v>
                </c:pt>
                <c:pt idx="1">
                  <c:v>64.86999999999999</c:v>
                </c:pt>
                <c:pt idx="2">
                  <c:v>88.33</c:v>
                </c:pt>
                <c:pt idx="3">
                  <c:v>92.649999999999991</c:v>
                </c:pt>
                <c:pt idx="4">
                  <c:v>98.740000000000023</c:v>
                </c:pt>
                <c:pt idx="5">
                  <c:v>99.3</c:v>
                </c:pt>
                <c:pt idx="6">
                  <c:v>100</c:v>
                </c:pt>
              </c:numCache>
            </c:numRef>
          </c:yVal>
          <c:smooth val="1"/>
        </c:ser>
        <c:ser>
          <c:idx val="1"/>
          <c:order val="1"/>
          <c:tx>
            <c:strRef>
              <c:f>Sheet2!$C$1</c:f>
              <c:strCache>
                <c:ptCount val="1"/>
                <c:pt idx="0">
                  <c:v>Hem.</c:v>
                </c:pt>
              </c:strCache>
            </c:strRef>
          </c:tx>
          <c:spPr>
            <a:ln w="12692">
              <a:solidFill>
                <a:srgbClr val="333333"/>
              </a:solidFill>
              <a:prstDash val="solid"/>
            </a:ln>
          </c:spPr>
          <c:marker>
            <c:symbol val="square"/>
            <c:size val="4"/>
            <c:spPr>
              <a:solidFill>
                <a:srgbClr val="333333"/>
              </a:solidFill>
              <a:ln>
                <a:solidFill>
                  <a:srgbClr val="333333"/>
                </a:solidFill>
                <a:prstDash val="solid"/>
              </a:ln>
            </c:spPr>
          </c:marker>
          <c:xVal>
            <c:numRef>
              <c:f>Sheet2!$A$2:$A$8</c:f>
              <c:numCache>
                <c:formatCode>General</c:formatCode>
                <c:ptCount val="7"/>
                <c:pt idx="0">
                  <c:v>5</c:v>
                </c:pt>
                <c:pt idx="1">
                  <c:v>2.5</c:v>
                </c:pt>
                <c:pt idx="2">
                  <c:v>1</c:v>
                </c:pt>
                <c:pt idx="3">
                  <c:v>0.25</c:v>
                </c:pt>
                <c:pt idx="4">
                  <c:v>0.1</c:v>
                </c:pt>
                <c:pt idx="5">
                  <c:v>1.0000000000000004E-2</c:v>
                </c:pt>
                <c:pt idx="6">
                  <c:v>1.0000000000000005E-3</c:v>
                </c:pt>
              </c:numCache>
            </c:numRef>
          </c:xVal>
          <c:yVal>
            <c:numRef>
              <c:f>Sheet2!$C$2:$C$8</c:f>
              <c:numCache>
                <c:formatCode>General</c:formatCode>
                <c:ptCount val="7"/>
                <c:pt idx="0">
                  <c:v>0.4</c:v>
                </c:pt>
                <c:pt idx="1">
                  <c:v>0.8</c:v>
                </c:pt>
                <c:pt idx="2">
                  <c:v>15.99</c:v>
                </c:pt>
                <c:pt idx="3">
                  <c:v>57.67</c:v>
                </c:pt>
                <c:pt idx="4">
                  <c:v>80.47</c:v>
                </c:pt>
                <c:pt idx="5">
                  <c:v>90.11</c:v>
                </c:pt>
                <c:pt idx="6">
                  <c:v>100</c:v>
                </c:pt>
              </c:numCache>
            </c:numRef>
          </c:yVal>
          <c:smooth val="1"/>
        </c:ser>
        <c:ser>
          <c:idx val="2"/>
          <c:order val="2"/>
          <c:tx>
            <c:strRef>
              <c:f>Sheet2!$D$1</c:f>
              <c:strCache>
                <c:ptCount val="1"/>
                <c:pt idx="0">
                  <c:v>B-ph.</c:v>
                </c:pt>
              </c:strCache>
            </c:strRef>
          </c:tx>
          <c:spPr>
            <a:ln w="12692">
              <a:solidFill>
                <a:srgbClr val="333333"/>
              </a:solidFill>
              <a:prstDash val="solid"/>
            </a:ln>
          </c:spPr>
          <c:marker>
            <c:symbol val="triangle"/>
            <c:size val="4"/>
            <c:spPr>
              <a:solidFill>
                <a:srgbClr val="333333"/>
              </a:solidFill>
              <a:ln>
                <a:solidFill>
                  <a:srgbClr val="333333"/>
                </a:solidFill>
                <a:prstDash val="solid"/>
              </a:ln>
            </c:spPr>
          </c:marker>
          <c:xVal>
            <c:numRef>
              <c:f>Sheet2!$A$2:$A$8</c:f>
              <c:numCache>
                <c:formatCode>General</c:formatCode>
                <c:ptCount val="7"/>
                <c:pt idx="0">
                  <c:v>5</c:v>
                </c:pt>
                <c:pt idx="1">
                  <c:v>2.5</c:v>
                </c:pt>
                <c:pt idx="2">
                  <c:v>1</c:v>
                </c:pt>
                <c:pt idx="3">
                  <c:v>0.25</c:v>
                </c:pt>
                <c:pt idx="4">
                  <c:v>0.1</c:v>
                </c:pt>
                <c:pt idx="5">
                  <c:v>1.0000000000000004E-2</c:v>
                </c:pt>
                <c:pt idx="6">
                  <c:v>1.0000000000000005E-3</c:v>
                </c:pt>
              </c:numCache>
            </c:numRef>
          </c:xVal>
          <c:yVal>
            <c:numRef>
              <c:f>Sheet2!$D$2:$D$8</c:f>
              <c:numCache>
                <c:formatCode>General</c:formatCode>
                <c:ptCount val="7"/>
                <c:pt idx="0">
                  <c:v>0.70000000000000018</c:v>
                </c:pt>
                <c:pt idx="1">
                  <c:v>1.5</c:v>
                </c:pt>
                <c:pt idx="2">
                  <c:v>20.87</c:v>
                </c:pt>
                <c:pt idx="3">
                  <c:v>68.430000000000007</c:v>
                </c:pt>
                <c:pt idx="4">
                  <c:v>84.649999999999991</c:v>
                </c:pt>
                <c:pt idx="5">
                  <c:v>91.86</c:v>
                </c:pt>
                <c:pt idx="6">
                  <c:v>100</c:v>
                </c:pt>
              </c:numCache>
            </c:numRef>
          </c:yVal>
          <c:smooth val="1"/>
        </c:ser>
        <c:axId val="111542272"/>
        <c:axId val="111544192"/>
      </c:scatterChart>
      <c:valAx>
        <c:axId val="111542272"/>
        <c:scaling>
          <c:orientation val="minMax"/>
        </c:scaling>
        <c:axPos val="b"/>
        <c:title>
          <c:tx>
            <c:rich>
              <a:bodyPr/>
              <a:lstStyle/>
              <a:p>
                <a:pPr>
                  <a:defRPr lang="ar-EG" sz="799" b="0" i="0" u="none" strike="noStrike" baseline="0">
                    <a:solidFill>
                      <a:srgbClr val="000000"/>
                    </a:solidFill>
                    <a:latin typeface="Arial"/>
                    <a:ea typeface="Arial"/>
                    <a:cs typeface="Arial"/>
                  </a:defRPr>
                </a:pPr>
                <a:r>
                  <a:t>Concentrations </a:t>
                </a:r>
              </a:p>
            </c:rich>
          </c:tx>
          <c:layout>
            <c:manualLayout>
              <c:xMode val="edge"/>
              <c:yMode val="edge"/>
              <c:x val="0.37465652487490075"/>
              <c:y val="0.93121933127924239"/>
            </c:manualLayout>
          </c:layout>
          <c:spPr>
            <a:noFill/>
            <a:ln w="25383">
              <a:noFill/>
            </a:ln>
          </c:spPr>
        </c:title>
        <c:numFmt formatCode="General" sourceLinked="1"/>
        <c:tickLblPos val="nextTo"/>
        <c:spPr>
          <a:ln w="3173">
            <a:solidFill>
              <a:srgbClr val="000000"/>
            </a:solidFill>
            <a:prstDash val="solid"/>
          </a:ln>
        </c:spPr>
        <c:txPr>
          <a:bodyPr rot="0" vert="horz"/>
          <a:lstStyle/>
          <a:p>
            <a:pPr>
              <a:defRPr lang="ar-EG" sz="799" b="0" i="0" u="none" strike="noStrike" baseline="0">
                <a:solidFill>
                  <a:srgbClr val="000000"/>
                </a:solidFill>
                <a:latin typeface="Arial"/>
                <a:ea typeface="Arial"/>
                <a:cs typeface="Arial"/>
              </a:defRPr>
            </a:pPr>
            <a:endParaRPr lang="en-US"/>
          </a:p>
        </c:txPr>
        <c:crossAx val="111544192"/>
        <c:crosses val="autoZero"/>
        <c:crossBetween val="midCat"/>
      </c:valAx>
      <c:valAx>
        <c:axId val="111544192"/>
        <c:scaling>
          <c:logBase val="10"/>
          <c:orientation val="minMax"/>
          <c:min val="1"/>
        </c:scaling>
        <c:axPos val="l"/>
        <c:majorGridlines>
          <c:spPr>
            <a:ln w="3173">
              <a:solidFill>
                <a:srgbClr val="000000"/>
              </a:solidFill>
              <a:prstDash val="solid"/>
            </a:ln>
          </c:spPr>
        </c:majorGridlines>
        <c:title>
          <c:tx>
            <c:rich>
              <a:bodyPr/>
              <a:lstStyle/>
              <a:p>
                <a:pPr>
                  <a:defRPr lang="ar-EG" sz="799" b="0" i="0" u="none" strike="noStrike" baseline="0">
                    <a:solidFill>
                      <a:srgbClr val="000000"/>
                    </a:solidFill>
                    <a:latin typeface="Arial"/>
                    <a:ea typeface="Arial"/>
                    <a:cs typeface="Arial"/>
                  </a:defRPr>
                </a:pPr>
                <a:r>
                  <a:t>Percentage survival</a:t>
                </a:r>
              </a:p>
            </c:rich>
          </c:tx>
          <c:layout>
            <c:manualLayout>
              <c:xMode val="edge"/>
              <c:yMode val="edge"/>
              <c:x val="5.7851337987850693E-2"/>
              <c:y val="0.43386368823462307"/>
            </c:manualLayout>
          </c:layout>
          <c:spPr>
            <a:noFill/>
            <a:ln w="25383">
              <a:noFill/>
            </a:ln>
          </c:spPr>
        </c:title>
        <c:numFmt formatCode="General" sourceLinked="1"/>
        <c:tickLblPos val="nextTo"/>
        <c:spPr>
          <a:ln w="3173">
            <a:solidFill>
              <a:srgbClr val="000000"/>
            </a:solidFill>
            <a:prstDash val="solid"/>
          </a:ln>
        </c:spPr>
        <c:txPr>
          <a:bodyPr rot="0" vert="horz"/>
          <a:lstStyle/>
          <a:p>
            <a:pPr>
              <a:defRPr lang="ar-EG" sz="799" b="0" i="0" u="none" strike="noStrike" baseline="0">
                <a:solidFill>
                  <a:srgbClr val="000000"/>
                </a:solidFill>
                <a:latin typeface="Arial"/>
                <a:ea typeface="Arial"/>
                <a:cs typeface="Arial"/>
              </a:defRPr>
            </a:pPr>
            <a:endParaRPr lang="en-US"/>
          </a:p>
        </c:txPr>
        <c:crossAx val="111542272"/>
        <c:crosses val="autoZero"/>
        <c:crossBetween val="midCat"/>
      </c:valAx>
      <c:spPr>
        <a:solidFill>
          <a:srgbClr val="FFFFFF"/>
        </a:solidFill>
        <a:ln w="12692">
          <a:solidFill>
            <a:srgbClr val="808080"/>
          </a:solidFill>
          <a:prstDash val="solid"/>
        </a:ln>
      </c:spPr>
    </c:plotArea>
    <c:legend>
      <c:legendPos val="r"/>
      <c:layout>
        <c:manualLayout>
          <c:xMode val="edge"/>
          <c:yMode val="edge"/>
          <c:wMode val="edge"/>
          <c:hMode val="edge"/>
          <c:x val="0.78512606604061153"/>
          <c:y val="0.74074261097797589"/>
          <c:w val="0.9504158580743981"/>
          <c:h val="0.84656310624215447"/>
        </c:manualLayout>
      </c:layout>
      <c:spPr>
        <a:solidFill>
          <a:srgbClr val="FFFFFF"/>
        </a:solidFill>
        <a:ln w="3173">
          <a:solidFill>
            <a:srgbClr val="000000"/>
          </a:solidFill>
          <a:prstDash val="solid"/>
        </a:ln>
      </c:spPr>
      <c:txPr>
        <a:bodyPr/>
        <a:lstStyle/>
        <a:p>
          <a:pPr>
            <a:defRPr lang="ar-EG" sz="55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3">
      <a:solidFill>
        <a:srgbClr val="000000"/>
      </a:solidFill>
      <a:prstDash val="solid"/>
    </a:ln>
  </c:spPr>
  <c:txPr>
    <a:bodyPr/>
    <a:lstStyle/>
    <a:p>
      <a:pPr>
        <a:defRPr sz="799" b="0" i="0" u="none" strike="noStrike" baseline="0">
          <a:solidFill>
            <a:srgbClr val="000000"/>
          </a:solidFill>
          <a:latin typeface="Arial"/>
          <a:ea typeface="Arial"/>
          <a:cs typeface="Arial"/>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lgn="l">
              <a:defRPr lang="ar-EG" sz="800" b="0" i="0" u="none" strike="noStrike" baseline="0">
                <a:solidFill>
                  <a:srgbClr val="000000"/>
                </a:solidFill>
                <a:latin typeface="Arial"/>
                <a:ea typeface="Arial"/>
                <a:cs typeface="Arial"/>
              </a:defRPr>
            </a:pPr>
            <a:r>
              <a:rPr lang="en-US" sz="800" b="1" i="0" u="none" strike="noStrike" baseline="0">
                <a:solidFill>
                  <a:srgbClr val="000000"/>
                </a:solidFill>
                <a:latin typeface="Arial"/>
                <a:cs typeface="Arial"/>
              </a:rPr>
              <a:t>Figure (2</a:t>
            </a:r>
            <a:r>
              <a:rPr lang="en-US" sz="1000" b="1" i="0" u="none" strike="noStrike" baseline="0">
                <a:solidFill>
                  <a:srgbClr val="000000"/>
                </a:solidFill>
                <a:latin typeface="Arial"/>
                <a:cs typeface="Arial"/>
              </a:rPr>
              <a:t>)</a:t>
            </a:r>
            <a:r>
              <a:rPr lang="en-US" sz="600" b="1" i="0" u="none" strike="noStrike" baseline="0">
                <a:solidFill>
                  <a:srgbClr val="000000"/>
                </a:solidFill>
                <a:latin typeface="Arial"/>
                <a:cs typeface="Arial"/>
              </a:rPr>
              <a:t>:</a:t>
            </a:r>
          </a:p>
          <a:p>
            <a:pPr algn="l">
              <a:defRPr lang="ar-EG" sz="800" b="0" i="0" u="none" strike="noStrike" baseline="0">
                <a:solidFill>
                  <a:srgbClr val="000000"/>
                </a:solidFill>
                <a:latin typeface="Arial"/>
                <a:ea typeface="Arial"/>
                <a:cs typeface="Arial"/>
              </a:defRPr>
            </a:pPr>
            <a:r>
              <a:rPr lang="en-US" sz="600" b="1" i="0" u="none" strike="noStrike" baseline="0">
                <a:solidFill>
                  <a:srgbClr val="000000"/>
                </a:solidFill>
                <a:latin typeface="Arial"/>
                <a:cs typeface="Arial"/>
              </a:rPr>
              <a:t>Survivability of </a:t>
            </a:r>
            <a:r>
              <a:rPr lang="en-US" sz="600" b="1" i="1" u="none" strike="noStrike" baseline="0">
                <a:solidFill>
                  <a:srgbClr val="000000"/>
                </a:solidFill>
                <a:latin typeface="Arial"/>
                <a:cs typeface="Arial"/>
              </a:rPr>
              <a:t>S. furgipedra</a:t>
            </a:r>
            <a:r>
              <a:rPr lang="en-US" sz="600" b="1" i="0" u="none" strike="noStrike" baseline="0">
                <a:solidFill>
                  <a:srgbClr val="000000"/>
                </a:solidFill>
                <a:latin typeface="Arial"/>
                <a:cs typeface="Arial"/>
              </a:rPr>
              <a:t> SF9 cells due to the effect of the L-tryptophan (L_tr.),Mandelic acid (Man.) ,Histidine (His.) or L-b-phenyllactic acid (L-b-p.) with or without ( Control) UV light .</a:t>
            </a:r>
          </a:p>
        </c:rich>
      </c:tx>
      <c:layout>
        <c:manualLayout>
          <c:xMode val="edge"/>
          <c:yMode val="edge"/>
          <c:x val="0.11019309555144137"/>
          <c:y val="1.8518473652331925E-2"/>
        </c:manualLayout>
      </c:layout>
      <c:spPr>
        <a:noFill/>
        <a:ln w="25393">
          <a:noFill/>
        </a:ln>
      </c:spPr>
    </c:title>
    <c:plotArea>
      <c:layout>
        <c:manualLayout>
          <c:layoutTarget val="inner"/>
          <c:xMode val="edge"/>
          <c:yMode val="edge"/>
          <c:x val="0.19283798434805535"/>
          <c:y val="0.27037134827599935"/>
          <c:w val="0.48209496087013837"/>
          <c:h val="0.54444641365166979"/>
        </c:manualLayout>
      </c:layout>
      <c:scatterChart>
        <c:scatterStyle val="smoothMarker"/>
        <c:ser>
          <c:idx val="0"/>
          <c:order val="0"/>
          <c:tx>
            <c:strRef>
              <c:f>Sheet3!$G$1</c:f>
              <c:strCache>
                <c:ptCount val="1"/>
                <c:pt idx="0">
                  <c:v>Control  </c:v>
                </c:pt>
              </c:strCache>
            </c:strRef>
          </c:tx>
          <c:spPr>
            <a:ln w="12696">
              <a:solidFill>
                <a:srgbClr val="333333"/>
              </a:solidFill>
              <a:prstDash val="solid"/>
            </a:ln>
          </c:spPr>
          <c:marker>
            <c:symbol val="circle"/>
            <c:size val="4"/>
            <c:spPr>
              <a:solidFill>
                <a:srgbClr val="CCFFFF"/>
              </a:solidFill>
              <a:ln>
                <a:solidFill>
                  <a:srgbClr val="000000"/>
                </a:solidFill>
                <a:prstDash val="solid"/>
              </a:ln>
            </c:spPr>
          </c:marker>
          <c:xVal>
            <c:numRef>
              <c:f>Sheet3!$F$2:$F$9</c:f>
              <c:numCache>
                <c:formatCode>General</c:formatCode>
                <c:ptCount val="8"/>
                <c:pt idx="0">
                  <c:v>7.5</c:v>
                </c:pt>
                <c:pt idx="1">
                  <c:v>5</c:v>
                </c:pt>
                <c:pt idx="2">
                  <c:v>2.5</c:v>
                </c:pt>
                <c:pt idx="3">
                  <c:v>1</c:v>
                </c:pt>
                <c:pt idx="4">
                  <c:v>0.25</c:v>
                </c:pt>
                <c:pt idx="5">
                  <c:v>0.1</c:v>
                </c:pt>
                <c:pt idx="6">
                  <c:v>1.0000000000000004E-2</c:v>
                </c:pt>
                <c:pt idx="7">
                  <c:v>1.0000000000000005E-3</c:v>
                </c:pt>
              </c:numCache>
            </c:numRef>
          </c:xVal>
          <c:yVal>
            <c:numRef>
              <c:f>Sheet3!$G$2:$G$9</c:f>
              <c:numCache>
                <c:formatCode>General</c:formatCode>
                <c:ptCount val="8"/>
                <c:pt idx="0">
                  <c:v>45.89</c:v>
                </c:pt>
                <c:pt idx="1">
                  <c:v>55.6</c:v>
                </c:pt>
                <c:pt idx="2">
                  <c:v>65.34</c:v>
                </c:pt>
                <c:pt idx="3">
                  <c:v>90.56</c:v>
                </c:pt>
                <c:pt idx="4">
                  <c:v>95.54</c:v>
                </c:pt>
                <c:pt idx="5">
                  <c:v>98.85</c:v>
                </c:pt>
                <c:pt idx="6">
                  <c:v>99.4</c:v>
                </c:pt>
                <c:pt idx="7">
                  <c:v>100</c:v>
                </c:pt>
              </c:numCache>
            </c:numRef>
          </c:yVal>
          <c:smooth val="1"/>
        </c:ser>
        <c:ser>
          <c:idx val="1"/>
          <c:order val="1"/>
          <c:tx>
            <c:strRef>
              <c:f>Sheet3!$H$1</c:f>
              <c:strCache>
                <c:ptCount val="1"/>
                <c:pt idx="0">
                  <c:v>L-tr.</c:v>
                </c:pt>
              </c:strCache>
            </c:strRef>
          </c:tx>
          <c:spPr>
            <a:ln w="12696">
              <a:solidFill>
                <a:srgbClr val="333333"/>
              </a:solidFill>
              <a:prstDash val="solid"/>
            </a:ln>
          </c:spPr>
          <c:marker>
            <c:symbol val="square"/>
            <c:size val="4"/>
            <c:spPr>
              <a:solidFill>
                <a:srgbClr val="FFFFFF"/>
              </a:solidFill>
              <a:ln>
                <a:solidFill>
                  <a:srgbClr val="333333"/>
                </a:solidFill>
                <a:prstDash val="solid"/>
              </a:ln>
            </c:spPr>
          </c:marker>
          <c:xVal>
            <c:numRef>
              <c:f>Sheet3!$F$2:$F$9</c:f>
              <c:numCache>
                <c:formatCode>General</c:formatCode>
                <c:ptCount val="8"/>
                <c:pt idx="0">
                  <c:v>7.5</c:v>
                </c:pt>
                <c:pt idx="1">
                  <c:v>5</c:v>
                </c:pt>
                <c:pt idx="2">
                  <c:v>2.5</c:v>
                </c:pt>
                <c:pt idx="3">
                  <c:v>1</c:v>
                </c:pt>
                <c:pt idx="4">
                  <c:v>0.25</c:v>
                </c:pt>
                <c:pt idx="5">
                  <c:v>0.1</c:v>
                </c:pt>
                <c:pt idx="6">
                  <c:v>1.0000000000000004E-2</c:v>
                </c:pt>
                <c:pt idx="7">
                  <c:v>1.0000000000000005E-3</c:v>
                </c:pt>
              </c:numCache>
            </c:numRef>
          </c:xVal>
          <c:yVal>
            <c:numRef>
              <c:f>Sheet3!$H$2:$H$9</c:f>
              <c:numCache>
                <c:formatCode>General</c:formatCode>
                <c:ptCount val="8"/>
                <c:pt idx="0">
                  <c:v>40.89</c:v>
                </c:pt>
                <c:pt idx="1">
                  <c:v>50.120000000000012</c:v>
                </c:pt>
                <c:pt idx="2">
                  <c:v>55.87</c:v>
                </c:pt>
                <c:pt idx="3">
                  <c:v>60.65</c:v>
                </c:pt>
                <c:pt idx="4">
                  <c:v>85.85</c:v>
                </c:pt>
                <c:pt idx="5">
                  <c:v>90.940000000000026</c:v>
                </c:pt>
                <c:pt idx="6">
                  <c:v>99.1</c:v>
                </c:pt>
                <c:pt idx="7">
                  <c:v>100</c:v>
                </c:pt>
              </c:numCache>
            </c:numRef>
          </c:yVal>
          <c:smooth val="1"/>
        </c:ser>
        <c:ser>
          <c:idx val="2"/>
          <c:order val="2"/>
          <c:tx>
            <c:strRef>
              <c:f>Sheet3!$I$1</c:f>
              <c:strCache>
                <c:ptCount val="1"/>
                <c:pt idx="0">
                  <c:v>Man.</c:v>
                </c:pt>
              </c:strCache>
            </c:strRef>
          </c:tx>
          <c:spPr>
            <a:ln w="12696">
              <a:solidFill>
                <a:srgbClr val="333333"/>
              </a:solidFill>
              <a:prstDash val="solid"/>
            </a:ln>
          </c:spPr>
          <c:marker>
            <c:symbol val="triangle"/>
            <c:size val="4"/>
            <c:spPr>
              <a:solidFill>
                <a:srgbClr val="FFFFFF"/>
              </a:solidFill>
              <a:ln>
                <a:solidFill>
                  <a:srgbClr val="333333"/>
                </a:solidFill>
                <a:prstDash val="solid"/>
              </a:ln>
            </c:spPr>
          </c:marker>
          <c:xVal>
            <c:numRef>
              <c:f>Sheet3!$F$2:$F$9</c:f>
              <c:numCache>
                <c:formatCode>General</c:formatCode>
                <c:ptCount val="8"/>
                <c:pt idx="0">
                  <c:v>7.5</c:v>
                </c:pt>
                <c:pt idx="1">
                  <c:v>5</c:v>
                </c:pt>
                <c:pt idx="2">
                  <c:v>2.5</c:v>
                </c:pt>
                <c:pt idx="3">
                  <c:v>1</c:v>
                </c:pt>
                <c:pt idx="4">
                  <c:v>0.25</c:v>
                </c:pt>
                <c:pt idx="5">
                  <c:v>0.1</c:v>
                </c:pt>
                <c:pt idx="6">
                  <c:v>1.0000000000000004E-2</c:v>
                </c:pt>
                <c:pt idx="7">
                  <c:v>1.0000000000000005E-3</c:v>
                </c:pt>
              </c:numCache>
            </c:numRef>
          </c:xVal>
          <c:yVal>
            <c:numRef>
              <c:f>Sheet3!$I$2:$I$9</c:f>
              <c:numCache>
                <c:formatCode>General</c:formatCode>
                <c:ptCount val="8"/>
                <c:pt idx="0">
                  <c:v>43.97</c:v>
                </c:pt>
                <c:pt idx="1">
                  <c:v>47.95</c:v>
                </c:pt>
                <c:pt idx="2">
                  <c:v>50.86</c:v>
                </c:pt>
                <c:pt idx="3">
                  <c:v>55.85</c:v>
                </c:pt>
                <c:pt idx="4">
                  <c:v>79.86</c:v>
                </c:pt>
                <c:pt idx="5">
                  <c:v>93.86999999999999</c:v>
                </c:pt>
                <c:pt idx="6">
                  <c:v>95.3</c:v>
                </c:pt>
                <c:pt idx="7">
                  <c:v>100</c:v>
                </c:pt>
              </c:numCache>
            </c:numRef>
          </c:yVal>
          <c:smooth val="1"/>
        </c:ser>
        <c:ser>
          <c:idx val="3"/>
          <c:order val="3"/>
          <c:tx>
            <c:strRef>
              <c:f>Sheet3!$J$1</c:f>
              <c:strCache>
                <c:ptCount val="1"/>
                <c:pt idx="0">
                  <c:v>His.</c:v>
                </c:pt>
              </c:strCache>
            </c:strRef>
          </c:tx>
          <c:spPr>
            <a:ln w="12696">
              <a:solidFill>
                <a:srgbClr val="333333"/>
              </a:solidFill>
              <a:prstDash val="solid"/>
            </a:ln>
          </c:spPr>
          <c:marker>
            <c:symbol val="diamond"/>
            <c:size val="4"/>
            <c:spPr>
              <a:solidFill>
                <a:srgbClr val="333333"/>
              </a:solidFill>
              <a:ln>
                <a:solidFill>
                  <a:srgbClr val="333333"/>
                </a:solidFill>
                <a:prstDash val="solid"/>
              </a:ln>
            </c:spPr>
          </c:marker>
          <c:xVal>
            <c:numRef>
              <c:f>Sheet3!$F$2:$F$9</c:f>
              <c:numCache>
                <c:formatCode>General</c:formatCode>
                <c:ptCount val="8"/>
                <c:pt idx="0">
                  <c:v>7.5</c:v>
                </c:pt>
                <c:pt idx="1">
                  <c:v>5</c:v>
                </c:pt>
                <c:pt idx="2">
                  <c:v>2.5</c:v>
                </c:pt>
                <c:pt idx="3">
                  <c:v>1</c:v>
                </c:pt>
                <c:pt idx="4">
                  <c:v>0.25</c:v>
                </c:pt>
                <c:pt idx="5">
                  <c:v>0.1</c:v>
                </c:pt>
                <c:pt idx="6">
                  <c:v>1.0000000000000004E-2</c:v>
                </c:pt>
                <c:pt idx="7">
                  <c:v>1.0000000000000005E-3</c:v>
                </c:pt>
              </c:numCache>
            </c:numRef>
          </c:xVal>
          <c:yVal>
            <c:numRef>
              <c:f>Sheet3!$J$2:$J$9</c:f>
              <c:numCache>
                <c:formatCode>General</c:formatCode>
                <c:ptCount val="8"/>
                <c:pt idx="0">
                  <c:v>39.64</c:v>
                </c:pt>
                <c:pt idx="1">
                  <c:v>50.89</c:v>
                </c:pt>
                <c:pt idx="2">
                  <c:v>49.75</c:v>
                </c:pt>
                <c:pt idx="3">
                  <c:v>59.65</c:v>
                </c:pt>
                <c:pt idx="4">
                  <c:v>88.32</c:v>
                </c:pt>
                <c:pt idx="5">
                  <c:v>91.86999999999999</c:v>
                </c:pt>
                <c:pt idx="6">
                  <c:v>96.32</c:v>
                </c:pt>
                <c:pt idx="7">
                  <c:v>100</c:v>
                </c:pt>
              </c:numCache>
            </c:numRef>
          </c:yVal>
          <c:smooth val="1"/>
        </c:ser>
        <c:ser>
          <c:idx val="4"/>
          <c:order val="4"/>
          <c:tx>
            <c:strRef>
              <c:f>Sheet3!$K$1</c:f>
              <c:strCache>
                <c:ptCount val="1"/>
                <c:pt idx="0">
                  <c:v>L-b-p.</c:v>
                </c:pt>
              </c:strCache>
            </c:strRef>
          </c:tx>
          <c:spPr>
            <a:ln w="12696">
              <a:solidFill>
                <a:srgbClr val="333333"/>
              </a:solidFill>
              <a:prstDash val="solid"/>
            </a:ln>
          </c:spPr>
          <c:marker>
            <c:symbol val="circle"/>
            <c:size val="4"/>
            <c:spPr>
              <a:solidFill>
                <a:srgbClr val="333333"/>
              </a:solidFill>
              <a:ln>
                <a:solidFill>
                  <a:srgbClr val="333333"/>
                </a:solidFill>
                <a:prstDash val="solid"/>
              </a:ln>
            </c:spPr>
          </c:marker>
          <c:xVal>
            <c:numRef>
              <c:f>Sheet3!$F$2:$F$9</c:f>
              <c:numCache>
                <c:formatCode>General</c:formatCode>
                <c:ptCount val="8"/>
                <c:pt idx="0">
                  <c:v>7.5</c:v>
                </c:pt>
                <c:pt idx="1">
                  <c:v>5</c:v>
                </c:pt>
                <c:pt idx="2">
                  <c:v>2.5</c:v>
                </c:pt>
                <c:pt idx="3">
                  <c:v>1</c:v>
                </c:pt>
                <c:pt idx="4">
                  <c:v>0.25</c:v>
                </c:pt>
                <c:pt idx="5">
                  <c:v>0.1</c:v>
                </c:pt>
                <c:pt idx="6">
                  <c:v>1.0000000000000004E-2</c:v>
                </c:pt>
                <c:pt idx="7">
                  <c:v>1.0000000000000005E-3</c:v>
                </c:pt>
              </c:numCache>
            </c:numRef>
          </c:xVal>
          <c:yVal>
            <c:numRef>
              <c:f>Sheet3!$K$2:$K$9</c:f>
              <c:numCache>
                <c:formatCode>General</c:formatCode>
                <c:ptCount val="8"/>
                <c:pt idx="0">
                  <c:v>40.99</c:v>
                </c:pt>
                <c:pt idx="1">
                  <c:v>39.56</c:v>
                </c:pt>
                <c:pt idx="2">
                  <c:v>44.75</c:v>
                </c:pt>
                <c:pt idx="3">
                  <c:v>45.4</c:v>
                </c:pt>
                <c:pt idx="4">
                  <c:v>87.95</c:v>
                </c:pt>
                <c:pt idx="5">
                  <c:v>90.649999999999991</c:v>
                </c:pt>
                <c:pt idx="6">
                  <c:v>92.649999999999991</c:v>
                </c:pt>
                <c:pt idx="7">
                  <c:v>100</c:v>
                </c:pt>
              </c:numCache>
            </c:numRef>
          </c:yVal>
          <c:smooth val="1"/>
        </c:ser>
        <c:axId val="112345088"/>
        <c:axId val="112347008"/>
      </c:scatterChart>
      <c:valAx>
        <c:axId val="112345088"/>
        <c:scaling>
          <c:orientation val="minMax"/>
          <c:min val="0"/>
        </c:scaling>
        <c:axPos val="b"/>
        <c:title>
          <c:tx>
            <c:rich>
              <a:bodyPr/>
              <a:lstStyle/>
              <a:p>
                <a:pPr>
                  <a:defRPr lang="ar-EG" sz="525" b="0" i="0" u="none" strike="noStrike" baseline="0">
                    <a:solidFill>
                      <a:srgbClr val="000000"/>
                    </a:solidFill>
                    <a:latin typeface="Arial"/>
                    <a:ea typeface="Arial"/>
                    <a:cs typeface="Arial"/>
                  </a:defRPr>
                </a:pPr>
                <a:r>
                  <a:t>Concentrations</a:t>
                </a:r>
              </a:p>
            </c:rich>
          </c:tx>
          <c:layout>
            <c:manualLayout>
              <c:xMode val="edge"/>
              <c:yMode val="edge"/>
              <c:x val="0.36363736402638053"/>
              <c:y val="0.91481809004643655"/>
            </c:manualLayout>
          </c:layout>
          <c:spPr>
            <a:noFill/>
            <a:ln w="25393">
              <a:noFill/>
            </a:ln>
          </c:spPr>
        </c:title>
        <c:numFmt formatCode="General" sourceLinked="1"/>
        <c:tickLblPos val="nextTo"/>
        <c:spPr>
          <a:ln w="3174">
            <a:solidFill>
              <a:srgbClr val="000000"/>
            </a:solidFill>
            <a:prstDash val="solid"/>
          </a:ln>
        </c:spPr>
        <c:txPr>
          <a:bodyPr rot="0" vert="horz"/>
          <a:lstStyle/>
          <a:p>
            <a:pPr>
              <a:defRPr lang="ar-EG" sz="800" b="0" i="0" u="none" strike="noStrike" baseline="0">
                <a:solidFill>
                  <a:srgbClr val="000000"/>
                </a:solidFill>
                <a:latin typeface="Arial"/>
                <a:ea typeface="Arial"/>
                <a:cs typeface="Arial"/>
              </a:defRPr>
            </a:pPr>
            <a:endParaRPr lang="en-US"/>
          </a:p>
        </c:txPr>
        <c:crossAx val="112347008"/>
        <c:crosses val="autoZero"/>
        <c:crossBetween val="midCat"/>
      </c:valAx>
      <c:valAx>
        <c:axId val="112347008"/>
        <c:scaling>
          <c:logBase val="10"/>
          <c:orientation val="minMax"/>
          <c:max val="100"/>
          <c:min val="1"/>
        </c:scaling>
        <c:axPos val="l"/>
        <c:majorGridlines>
          <c:spPr>
            <a:ln w="3174">
              <a:solidFill>
                <a:srgbClr val="000000"/>
              </a:solidFill>
              <a:prstDash val="solid"/>
            </a:ln>
          </c:spPr>
        </c:majorGridlines>
        <c:title>
          <c:tx>
            <c:rich>
              <a:bodyPr/>
              <a:lstStyle/>
              <a:p>
                <a:pPr>
                  <a:defRPr lang="ar-EG" sz="525" b="0" i="0" u="none" strike="noStrike" baseline="0">
                    <a:solidFill>
                      <a:srgbClr val="000000"/>
                    </a:solidFill>
                    <a:latin typeface="Arial"/>
                    <a:ea typeface="Arial"/>
                    <a:cs typeface="Arial"/>
                  </a:defRPr>
                </a:pPr>
                <a:r>
                  <a:t>Percentage survival</a:t>
                </a:r>
              </a:p>
            </c:rich>
          </c:tx>
          <c:layout>
            <c:manualLayout>
              <c:xMode val="edge"/>
              <c:yMode val="edge"/>
              <c:x val="7.4380376673878937E-2"/>
              <c:y val="0.42222370280637994"/>
            </c:manualLayout>
          </c:layout>
          <c:spPr>
            <a:noFill/>
            <a:ln w="25393">
              <a:noFill/>
            </a:ln>
          </c:spPr>
        </c:title>
        <c:numFmt formatCode="General" sourceLinked="1"/>
        <c:tickLblPos val="nextTo"/>
        <c:spPr>
          <a:ln w="3174">
            <a:solidFill>
              <a:srgbClr val="000000"/>
            </a:solidFill>
            <a:prstDash val="solid"/>
          </a:ln>
        </c:spPr>
        <c:txPr>
          <a:bodyPr rot="0" vert="horz"/>
          <a:lstStyle/>
          <a:p>
            <a:pPr>
              <a:defRPr lang="ar-EG" sz="800" b="0" i="0" u="none" strike="noStrike" baseline="0">
                <a:solidFill>
                  <a:srgbClr val="000000"/>
                </a:solidFill>
                <a:latin typeface="Arial"/>
                <a:ea typeface="Arial"/>
                <a:cs typeface="Arial"/>
              </a:defRPr>
            </a:pPr>
            <a:endParaRPr lang="en-US"/>
          </a:p>
        </c:txPr>
        <c:crossAx val="112345088"/>
        <c:crosses val="autoZero"/>
        <c:crossBetween val="midCat"/>
      </c:valAx>
      <c:spPr>
        <a:solidFill>
          <a:srgbClr val="FFFFFF"/>
        </a:solidFill>
        <a:ln w="12696">
          <a:solidFill>
            <a:srgbClr val="000000"/>
          </a:solidFill>
          <a:prstDash val="solid"/>
        </a:ln>
      </c:spPr>
    </c:plotArea>
    <c:legend>
      <c:legendPos val="r"/>
      <c:layout>
        <c:manualLayout>
          <c:xMode val="edge"/>
          <c:yMode val="edge"/>
          <c:wMode val="edge"/>
          <c:hMode val="edge"/>
          <c:x val="0.69421665068070471"/>
          <c:y val="0.5370389662830608"/>
          <c:w val="0.88980958116779318"/>
          <c:h val="0.78148435291742357"/>
        </c:manualLayout>
      </c:layout>
      <c:spPr>
        <a:solidFill>
          <a:srgbClr val="FFFFFF"/>
        </a:solidFill>
        <a:ln w="3174">
          <a:solidFill>
            <a:srgbClr val="000000"/>
          </a:solidFill>
          <a:prstDash val="solid"/>
        </a:ln>
      </c:spPr>
      <c:txPr>
        <a:bodyPr/>
        <a:lstStyle/>
        <a:p>
          <a:pPr>
            <a:defRPr lang="ar-EG" sz="55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4">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lgn="l">
              <a:defRPr lang="ar-EG" sz="998" b="0" i="0" u="none" strike="noStrike" baseline="0">
                <a:solidFill>
                  <a:srgbClr val="000000"/>
                </a:solidFill>
                <a:latin typeface="Arial"/>
                <a:ea typeface="Arial"/>
                <a:cs typeface="Arial"/>
              </a:defRPr>
            </a:pPr>
            <a:r>
              <a:rPr lang="en-US" sz="799" b="1" i="0" u="none" strike="noStrike" baseline="0">
                <a:solidFill>
                  <a:srgbClr val="000000"/>
                </a:solidFill>
                <a:latin typeface="Arial"/>
                <a:cs typeface="Arial"/>
              </a:rPr>
              <a:t>Figure (3): </a:t>
            </a:r>
          </a:p>
          <a:p>
            <a:pPr algn="l">
              <a:defRPr lang="ar-EG" sz="998" b="0" i="0" u="none" strike="noStrike" baseline="0">
                <a:solidFill>
                  <a:srgbClr val="000000"/>
                </a:solidFill>
                <a:latin typeface="Arial"/>
                <a:ea typeface="Arial"/>
                <a:cs typeface="Arial"/>
              </a:defRPr>
            </a:pPr>
            <a:r>
              <a:rPr lang="en-US" sz="599" b="1" i="0" u="none" strike="noStrike" baseline="0">
                <a:solidFill>
                  <a:srgbClr val="000000"/>
                </a:solidFill>
                <a:latin typeface="Arial"/>
                <a:cs typeface="Arial"/>
              </a:rPr>
              <a:t>Survivability of </a:t>
            </a:r>
            <a:r>
              <a:rPr lang="en-US" sz="599" b="1" i="1" u="none" strike="noStrike" baseline="0">
                <a:solidFill>
                  <a:srgbClr val="000000"/>
                </a:solidFill>
                <a:latin typeface="Arial"/>
                <a:cs typeface="Arial"/>
              </a:rPr>
              <a:t>S. furgipedra</a:t>
            </a:r>
            <a:r>
              <a:rPr lang="en-US" sz="599" b="1" i="0" u="none" strike="noStrike" baseline="0">
                <a:solidFill>
                  <a:srgbClr val="000000"/>
                </a:solidFill>
                <a:latin typeface="Arial"/>
                <a:cs typeface="Arial"/>
              </a:rPr>
              <a:t> SF9 cells  due to the effect of the B-Phenylpyruvic acid (B-Ph.) or Hematoporphyrin (H.) at 50%  cells apoptosis.</a:t>
            </a:r>
          </a:p>
        </c:rich>
      </c:tx>
      <c:layout>
        <c:manualLayout>
          <c:xMode val="edge"/>
          <c:yMode val="edge"/>
          <c:x val="0.11294803447019547"/>
          <c:y val="3.4782622321463556E-2"/>
        </c:manualLayout>
      </c:layout>
      <c:spPr>
        <a:noFill/>
        <a:ln w="25378">
          <a:noFill/>
        </a:ln>
      </c:spPr>
    </c:title>
    <c:view3D>
      <c:rotX val="27"/>
      <c:hPercent val="77"/>
      <c:rotY val="44"/>
      <c:depthPercent val="100"/>
      <c:rAngAx val="1"/>
    </c:view3D>
    <c:floor>
      <c:spPr>
        <a:solidFill>
          <a:srgbClr val="FFFFFF"/>
        </a:solidFill>
        <a:ln w="3175">
          <a:solidFill>
            <a:srgbClr val="000000"/>
          </a:solidFill>
          <a:prstDash val="solid"/>
        </a:ln>
      </c:spPr>
    </c:floor>
    <c:sideWall>
      <c:spPr>
        <a:solidFill>
          <a:srgbClr val="FFFFFF"/>
        </a:solidFill>
        <a:ln w="3175">
          <a:solidFill>
            <a:srgbClr val="000000"/>
          </a:solidFill>
          <a:prstDash val="solid"/>
        </a:ln>
      </c:spPr>
    </c:sideWall>
    <c:backWall>
      <c:spPr>
        <a:solidFill>
          <a:srgbClr val="FFFFFF"/>
        </a:solidFill>
        <a:ln w="3175">
          <a:solidFill>
            <a:srgbClr val="000000"/>
          </a:solidFill>
          <a:prstDash val="solid"/>
        </a:ln>
      </c:spPr>
    </c:backWall>
    <c:plotArea>
      <c:layout>
        <c:manualLayout>
          <c:layoutTarget val="inner"/>
          <c:xMode val="edge"/>
          <c:yMode val="edge"/>
          <c:x val="0.33057940173952366"/>
          <c:y val="0.25507318578234212"/>
          <c:w val="0.5234173860875786"/>
          <c:h val="0.50145069477664928"/>
        </c:manualLayout>
      </c:layout>
      <c:bar3DChart>
        <c:barDir val="col"/>
        <c:grouping val="clustered"/>
        <c:ser>
          <c:idx val="0"/>
          <c:order val="0"/>
          <c:tx>
            <c:strRef>
              <c:f>Sheet2!$L$1</c:f>
              <c:strCache>
                <c:ptCount val="1"/>
                <c:pt idx="0">
                  <c:v>Hem.</c:v>
                </c:pt>
              </c:strCache>
            </c:strRef>
          </c:tx>
          <c:spPr>
            <a:solidFill>
              <a:srgbClr val="9999FF"/>
            </a:solidFill>
            <a:ln w="12689">
              <a:solidFill>
                <a:srgbClr val="000000"/>
              </a:solidFill>
              <a:prstDash val="solid"/>
            </a:ln>
          </c:spPr>
          <c:cat>
            <c:numRef>
              <c:f>Sheet2!$K$2:$K$8</c:f>
              <c:numCache>
                <c:formatCode>General</c:formatCode>
                <c:ptCount val="7"/>
                <c:pt idx="0">
                  <c:v>5</c:v>
                </c:pt>
                <c:pt idx="1">
                  <c:v>2.5</c:v>
                </c:pt>
                <c:pt idx="2">
                  <c:v>1</c:v>
                </c:pt>
                <c:pt idx="3">
                  <c:v>0.25</c:v>
                </c:pt>
                <c:pt idx="4">
                  <c:v>0.1</c:v>
                </c:pt>
                <c:pt idx="5">
                  <c:v>1.0000000000000004E-2</c:v>
                </c:pt>
                <c:pt idx="6">
                  <c:v>1.0000000000000005E-3</c:v>
                </c:pt>
              </c:numCache>
            </c:numRef>
          </c:cat>
          <c:val>
            <c:numRef>
              <c:f>Sheet2!$L$2:$L$8</c:f>
              <c:numCache>
                <c:formatCode>General</c:formatCode>
                <c:ptCount val="7"/>
                <c:pt idx="0">
                  <c:v>0.15000000000000005</c:v>
                </c:pt>
              </c:numCache>
            </c:numRef>
          </c:val>
        </c:ser>
        <c:ser>
          <c:idx val="1"/>
          <c:order val="1"/>
          <c:tx>
            <c:strRef>
              <c:f>Sheet2!$M$1</c:f>
              <c:strCache>
                <c:ptCount val="1"/>
                <c:pt idx="0">
                  <c:v>B-Ph.</c:v>
                </c:pt>
              </c:strCache>
            </c:strRef>
          </c:tx>
          <c:spPr>
            <a:solidFill>
              <a:srgbClr val="993366"/>
            </a:solidFill>
            <a:ln w="12689">
              <a:solidFill>
                <a:srgbClr val="000000"/>
              </a:solidFill>
              <a:prstDash val="solid"/>
            </a:ln>
          </c:spPr>
          <c:cat>
            <c:numRef>
              <c:f>Sheet2!$K$2:$K$8</c:f>
              <c:numCache>
                <c:formatCode>General</c:formatCode>
                <c:ptCount val="7"/>
                <c:pt idx="0">
                  <c:v>5</c:v>
                </c:pt>
                <c:pt idx="1">
                  <c:v>2.5</c:v>
                </c:pt>
                <c:pt idx="2">
                  <c:v>1</c:v>
                </c:pt>
                <c:pt idx="3">
                  <c:v>0.25</c:v>
                </c:pt>
                <c:pt idx="4">
                  <c:v>0.1</c:v>
                </c:pt>
                <c:pt idx="5">
                  <c:v>1.0000000000000004E-2</c:v>
                </c:pt>
                <c:pt idx="6">
                  <c:v>1.0000000000000005E-3</c:v>
                </c:pt>
              </c:numCache>
            </c:numRef>
          </c:cat>
          <c:val>
            <c:numRef>
              <c:f>Sheet2!$M$2:$M$8</c:f>
              <c:numCache>
                <c:formatCode>General</c:formatCode>
                <c:ptCount val="7"/>
                <c:pt idx="0">
                  <c:v>0.35000000000000009</c:v>
                </c:pt>
              </c:numCache>
            </c:numRef>
          </c:val>
        </c:ser>
        <c:shape val="box"/>
        <c:axId val="111095168"/>
        <c:axId val="111126016"/>
        <c:axId val="0"/>
      </c:bar3DChart>
      <c:catAx>
        <c:axId val="111095168"/>
        <c:scaling>
          <c:orientation val="minMax"/>
        </c:scaling>
        <c:axPos val="b"/>
        <c:title>
          <c:tx>
            <c:rich>
              <a:bodyPr/>
              <a:lstStyle/>
              <a:p>
                <a:pPr>
                  <a:defRPr lang="ar-EG" sz="575" b="1" i="0" u="none" strike="noStrike" baseline="0">
                    <a:solidFill>
                      <a:srgbClr val="000000"/>
                    </a:solidFill>
                    <a:latin typeface="Arial"/>
                    <a:ea typeface="Arial"/>
                    <a:cs typeface="Arial"/>
                  </a:defRPr>
                </a:pPr>
                <a:r>
                  <a:t>Concentrations</a:t>
                </a:r>
              </a:p>
            </c:rich>
          </c:tx>
          <c:layout>
            <c:manualLayout>
              <c:xMode val="edge"/>
              <c:yMode val="edge"/>
              <c:x val="0.49586907868811025"/>
              <c:y val="0.78261103929173059"/>
            </c:manualLayout>
          </c:layout>
          <c:spPr>
            <a:noFill/>
            <a:ln w="25378">
              <a:noFill/>
            </a:ln>
          </c:spPr>
        </c:title>
        <c:numFmt formatCode="General" sourceLinked="1"/>
        <c:tickLblPos val="low"/>
        <c:spPr>
          <a:ln w="3172">
            <a:solidFill>
              <a:srgbClr val="000000"/>
            </a:solidFill>
            <a:prstDash val="solid"/>
          </a:ln>
        </c:spPr>
        <c:txPr>
          <a:bodyPr rot="0" vert="horz"/>
          <a:lstStyle/>
          <a:p>
            <a:pPr>
              <a:defRPr lang="ar-EG" sz="799" b="0" i="0" u="none" strike="noStrike" baseline="0">
                <a:solidFill>
                  <a:srgbClr val="000000"/>
                </a:solidFill>
                <a:latin typeface="Arial"/>
                <a:ea typeface="Arial"/>
                <a:cs typeface="Arial"/>
              </a:defRPr>
            </a:pPr>
            <a:endParaRPr lang="en-US"/>
          </a:p>
        </c:txPr>
        <c:crossAx val="111126016"/>
        <c:crosses val="autoZero"/>
        <c:auto val="1"/>
        <c:lblAlgn val="ctr"/>
        <c:lblOffset val="100"/>
        <c:tickLblSkip val="1"/>
        <c:tickMarkSkip val="1"/>
      </c:catAx>
      <c:valAx>
        <c:axId val="111126016"/>
        <c:scaling>
          <c:orientation val="minMax"/>
        </c:scaling>
        <c:axPos val="l"/>
        <c:majorGridlines>
          <c:spPr>
            <a:ln w="3172">
              <a:solidFill>
                <a:srgbClr val="000000"/>
              </a:solidFill>
              <a:prstDash val="solid"/>
            </a:ln>
          </c:spPr>
        </c:majorGridlines>
        <c:title>
          <c:tx>
            <c:rich>
              <a:bodyPr rot="0" vert="horz"/>
              <a:lstStyle/>
              <a:p>
                <a:pPr algn="ctr">
                  <a:defRPr lang="ar-EG" sz="575" b="1" i="0" u="none" strike="noStrike" baseline="0">
                    <a:solidFill>
                      <a:srgbClr val="000000"/>
                    </a:solidFill>
                    <a:latin typeface="Arial"/>
                    <a:ea typeface="Arial"/>
                    <a:cs typeface="Arial"/>
                  </a:defRPr>
                </a:pPr>
                <a:r>
                  <a:t>50% cells death</a:t>
                </a:r>
              </a:p>
            </c:rich>
          </c:tx>
          <c:layout>
            <c:manualLayout>
              <c:xMode val="edge"/>
              <c:yMode val="edge"/>
              <c:x val="9.3664056865413153E-2"/>
              <c:y val="0.49855227798017793"/>
            </c:manualLayout>
          </c:layout>
          <c:spPr>
            <a:noFill/>
            <a:ln w="25378">
              <a:noFill/>
            </a:ln>
          </c:spPr>
        </c:title>
        <c:numFmt formatCode="General" sourceLinked="1"/>
        <c:tickLblPos val="nextTo"/>
        <c:spPr>
          <a:ln w="3172">
            <a:solidFill>
              <a:srgbClr val="000000"/>
            </a:solidFill>
            <a:prstDash val="solid"/>
          </a:ln>
        </c:spPr>
        <c:txPr>
          <a:bodyPr rot="0" vert="horz"/>
          <a:lstStyle/>
          <a:p>
            <a:pPr>
              <a:defRPr lang="ar-EG" sz="799" b="0" i="0" u="none" strike="noStrike" baseline="0">
                <a:solidFill>
                  <a:srgbClr val="000000"/>
                </a:solidFill>
                <a:latin typeface="Arial"/>
                <a:ea typeface="Arial"/>
                <a:cs typeface="Arial"/>
              </a:defRPr>
            </a:pPr>
            <a:endParaRPr lang="en-US"/>
          </a:p>
        </c:txPr>
        <c:crossAx val="111095168"/>
        <c:crosses val="autoZero"/>
        <c:crossBetween val="between"/>
      </c:valAx>
      <c:spPr>
        <a:noFill/>
        <a:ln w="25378">
          <a:noFill/>
        </a:ln>
      </c:spPr>
    </c:plotArea>
    <c:legend>
      <c:legendPos val="r"/>
      <c:layout>
        <c:manualLayout>
          <c:xMode val="edge"/>
          <c:yMode val="edge"/>
          <c:wMode val="edge"/>
          <c:hMode val="edge"/>
          <c:x val="0.8732805424817649"/>
          <c:y val="0.63188592470717275"/>
          <c:w val="0.96694459934717825"/>
          <c:h val="0.71014690327888164"/>
        </c:manualLayout>
      </c:layout>
      <c:spPr>
        <a:solidFill>
          <a:srgbClr val="FFFFFF"/>
        </a:solidFill>
        <a:ln w="3172">
          <a:solidFill>
            <a:srgbClr val="000000"/>
          </a:solidFill>
          <a:prstDash val="solid"/>
        </a:ln>
      </c:spPr>
      <c:txPr>
        <a:bodyPr/>
        <a:lstStyle/>
        <a:p>
          <a:pPr>
            <a:defRPr lang="ar-EG" sz="55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2">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B742-4A06-43FF-8FEF-7693DF70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SCREEING THE SUSCEPTIBILETY OF SOME PHOTOSENSITIZERS AS A PHOTOINSECTICIDE ON Spodoptera furgipedra SF9 CELL LINE IN VITRO</vt:lpstr>
    </vt:vector>
  </TitlesOfParts>
  <Company>Packard Bell NEC</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SCREEING THE SUSCEPTIBILETY OF SOME PHOTOSENSITIZERS AS A PHOTOINSECTICIDE ON Spodoptera furgipedra SF9 CELL LINE IN VITRO</dc:title>
  <dc:creator>Dr:/Elham Salama</dc:creator>
  <cp:lastModifiedBy>Elham</cp:lastModifiedBy>
  <cp:revision>2</cp:revision>
  <cp:lastPrinted>2000-08-03T06:47:00Z</cp:lastPrinted>
  <dcterms:created xsi:type="dcterms:W3CDTF">2015-06-30T15:02:00Z</dcterms:created>
  <dcterms:modified xsi:type="dcterms:W3CDTF">2015-06-30T15:02:00Z</dcterms:modified>
</cp:coreProperties>
</file>